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1CAD71" w14:textId="00015E33" w:rsidR="008977D5" w:rsidRPr="00EF60AD" w:rsidRDefault="00EF60AD" w:rsidP="00EF60AD">
      <w:pPr>
        <w:spacing w:line="360" w:lineRule="auto"/>
        <w:ind w:left="6153"/>
        <w:rPr>
          <w:rFonts w:ascii="David" w:hAnsi="David" w:cs="David"/>
          <w:szCs w:val="24"/>
          <w:rtl/>
        </w:rPr>
      </w:pPr>
      <w:bookmarkStart w:id="0" w:name="DocNum"/>
      <w:bookmarkEnd w:id="0"/>
      <w:r>
        <w:rPr>
          <w:rFonts w:ascii="David" w:hAnsi="David" w:cs="David" w:hint="cs"/>
          <w:szCs w:val="24"/>
          <w:rtl/>
        </w:rPr>
        <w:t xml:space="preserve">                   </w:t>
      </w:r>
      <w:r w:rsidR="008D4CFD" w:rsidRPr="00EF60AD">
        <w:rPr>
          <w:rFonts w:ascii="David" w:hAnsi="David" w:cs="David"/>
          <w:szCs w:val="24"/>
          <w:rtl/>
        </w:rPr>
        <w:t xml:space="preserve">פברואר </w:t>
      </w:r>
      <w:r w:rsidR="005D036E" w:rsidRPr="00EF60AD">
        <w:rPr>
          <w:rFonts w:ascii="David" w:hAnsi="David" w:cs="David"/>
          <w:szCs w:val="24"/>
          <w:rtl/>
        </w:rPr>
        <w:t>2019</w:t>
      </w:r>
    </w:p>
    <w:p w14:paraId="0E4C4B68" w14:textId="77777777" w:rsidR="00EF60AD" w:rsidRDefault="00EF60AD" w:rsidP="00EF60AD">
      <w:pPr>
        <w:spacing w:beforeLines="25" w:before="60" w:afterLines="25" w:after="60" w:line="360" w:lineRule="auto"/>
        <w:ind w:left="609" w:hanging="609"/>
        <w:jc w:val="center"/>
        <w:rPr>
          <w:rFonts w:ascii="David" w:hAnsi="David" w:cs="David"/>
          <w:szCs w:val="24"/>
          <w:rtl/>
        </w:rPr>
      </w:pPr>
      <w:bookmarkStart w:id="1" w:name="MainToEl"/>
      <w:bookmarkEnd w:id="1"/>
    </w:p>
    <w:p w14:paraId="4B90FB42" w14:textId="67127156" w:rsidR="00B3646C" w:rsidRPr="00EF60AD" w:rsidRDefault="00B3646C" w:rsidP="00EF60AD">
      <w:pPr>
        <w:spacing w:beforeLines="25" w:before="60" w:afterLines="25" w:after="60" w:line="360" w:lineRule="auto"/>
        <w:ind w:left="609" w:hanging="609"/>
        <w:jc w:val="center"/>
        <w:rPr>
          <w:rFonts w:ascii="David" w:hAnsi="David" w:cs="David"/>
          <w:b/>
          <w:bCs/>
          <w:szCs w:val="24"/>
          <w:u w:val="single"/>
          <w:rtl/>
        </w:rPr>
      </w:pPr>
      <w:r w:rsidRPr="00EF60AD">
        <w:rPr>
          <w:rFonts w:ascii="David" w:hAnsi="David" w:cs="David"/>
          <w:b/>
          <w:bCs/>
          <w:szCs w:val="24"/>
          <w:rtl/>
        </w:rPr>
        <w:t xml:space="preserve">הנדון: </w:t>
      </w:r>
      <w:bookmarkStart w:id="2" w:name="About"/>
      <w:bookmarkEnd w:id="2"/>
      <w:r w:rsidRPr="00EF60AD">
        <w:rPr>
          <w:rFonts w:ascii="David" w:hAnsi="David" w:cs="David"/>
          <w:b/>
          <w:bCs/>
          <w:szCs w:val="24"/>
          <w:u w:val="single"/>
          <w:rtl/>
        </w:rPr>
        <w:t xml:space="preserve"> </w:t>
      </w:r>
      <w:r w:rsidR="00EF60AD" w:rsidRPr="00EF60AD">
        <w:rPr>
          <w:rFonts w:ascii="David" w:hAnsi="David" w:cs="David" w:hint="cs"/>
          <w:b/>
          <w:bCs/>
          <w:szCs w:val="24"/>
          <w:u w:val="single"/>
          <w:rtl/>
        </w:rPr>
        <w:t>מכרז פומבי מס' 14/2018 לקבלת שירותי ייעוץ אסטרטגי, כלכלי ושירותי מידענות עבור אגף תקציבים</w:t>
      </w:r>
      <w:r w:rsidR="00EF60AD">
        <w:rPr>
          <w:rFonts w:ascii="David" w:hAnsi="David" w:cs="David" w:hint="cs"/>
          <w:b/>
          <w:bCs/>
          <w:szCs w:val="24"/>
          <w:u w:val="single"/>
          <w:rtl/>
        </w:rPr>
        <w:t xml:space="preserve"> - מענה לשאלות הבהרה </w:t>
      </w:r>
    </w:p>
    <w:p w14:paraId="1403F0F1" w14:textId="77777777" w:rsidR="006F09E3" w:rsidRPr="00EF60AD" w:rsidRDefault="006F09E3" w:rsidP="00EF60AD">
      <w:pPr>
        <w:spacing w:line="360" w:lineRule="auto"/>
        <w:jc w:val="both"/>
        <w:rPr>
          <w:rFonts w:ascii="David" w:hAnsi="David" w:cs="David"/>
          <w:b/>
          <w:bCs/>
          <w:szCs w:val="24"/>
          <w:rtl/>
        </w:rPr>
      </w:pPr>
    </w:p>
    <w:p w14:paraId="763EF87B" w14:textId="77777777" w:rsidR="00B3646C" w:rsidRPr="00EF60AD" w:rsidRDefault="00B3646C" w:rsidP="00EF60AD">
      <w:pPr>
        <w:pStyle w:val="First"/>
        <w:numPr>
          <w:ilvl w:val="0"/>
          <w:numId w:val="46"/>
        </w:numPr>
        <w:spacing w:line="360" w:lineRule="auto"/>
        <w:outlineLvl w:val="0"/>
        <w:rPr>
          <w:rFonts w:ascii="David" w:hAnsi="David"/>
          <w:szCs w:val="24"/>
        </w:rPr>
      </w:pPr>
      <w:r w:rsidRPr="00EF60AD">
        <w:rPr>
          <w:rFonts w:ascii="David" w:hAnsi="David"/>
          <w:szCs w:val="24"/>
          <w:rtl/>
        </w:rPr>
        <w:t>בהמשך למסמכי המכרז שפורסמו ובמענה לשאלות ההבהרה, מצ"ב תשובות ועדת המכרזים לשאלות ההבהרה.</w:t>
      </w:r>
    </w:p>
    <w:p w14:paraId="68CF89F5" w14:textId="77777777" w:rsidR="00B3646C" w:rsidRPr="00EF60AD" w:rsidRDefault="00B3646C" w:rsidP="00EF60AD">
      <w:pPr>
        <w:pStyle w:val="First"/>
        <w:numPr>
          <w:ilvl w:val="0"/>
          <w:numId w:val="46"/>
        </w:numPr>
        <w:spacing w:line="360" w:lineRule="auto"/>
        <w:outlineLvl w:val="0"/>
        <w:rPr>
          <w:rFonts w:ascii="David" w:hAnsi="David"/>
          <w:szCs w:val="24"/>
        </w:rPr>
      </w:pPr>
      <w:r w:rsidRPr="00EF60AD">
        <w:rPr>
          <w:rFonts w:ascii="David" w:hAnsi="David"/>
          <w:szCs w:val="24"/>
          <w:rtl/>
        </w:rPr>
        <w:t>יובהר כי אין נוסח השאלות המפורט להלן זהה בהכרח לנוסח בו השתמש השואל וכי לא בהכרח נענתה כל שאלה.</w:t>
      </w:r>
    </w:p>
    <w:p w14:paraId="7CEC5ED5" w14:textId="77777777" w:rsidR="00B3646C" w:rsidRPr="00EF60AD" w:rsidRDefault="00B3646C" w:rsidP="00EF60AD">
      <w:pPr>
        <w:pStyle w:val="First"/>
        <w:numPr>
          <w:ilvl w:val="0"/>
          <w:numId w:val="46"/>
        </w:numPr>
        <w:spacing w:line="360" w:lineRule="auto"/>
        <w:outlineLvl w:val="0"/>
        <w:rPr>
          <w:rFonts w:ascii="David" w:hAnsi="David"/>
          <w:szCs w:val="24"/>
        </w:rPr>
      </w:pPr>
      <w:r w:rsidRPr="00EF60AD">
        <w:rPr>
          <w:rFonts w:ascii="David" w:hAnsi="David"/>
          <w:szCs w:val="24"/>
          <w:rtl/>
        </w:rPr>
        <w:t xml:space="preserve">כל ההבהרות האמורות במכתב הבהרה זה ייחשבו כחלק ממסמכי המכרז. על המציע לצרף מסמך זה שהוא חתום על ידי </w:t>
      </w:r>
      <w:proofErr w:type="spellStart"/>
      <w:r w:rsidRPr="00EF60AD">
        <w:rPr>
          <w:rFonts w:ascii="David" w:hAnsi="David"/>
          <w:szCs w:val="24"/>
          <w:rtl/>
        </w:rPr>
        <w:t>מורשי</w:t>
      </w:r>
      <w:proofErr w:type="spellEnd"/>
      <w:r w:rsidRPr="00EF60AD">
        <w:rPr>
          <w:rFonts w:ascii="David" w:hAnsi="David"/>
          <w:szCs w:val="24"/>
          <w:rtl/>
        </w:rPr>
        <w:t xml:space="preserve"> החתימה מטעמו להצעה. </w:t>
      </w:r>
    </w:p>
    <w:p w14:paraId="12FF01A0" w14:textId="77777777" w:rsidR="00B3646C" w:rsidRPr="00EF60AD" w:rsidRDefault="00B3646C" w:rsidP="00EF60AD">
      <w:pPr>
        <w:pStyle w:val="First"/>
        <w:numPr>
          <w:ilvl w:val="0"/>
          <w:numId w:val="46"/>
        </w:numPr>
        <w:spacing w:line="360" w:lineRule="auto"/>
        <w:outlineLvl w:val="0"/>
        <w:rPr>
          <w:rFonts w:ascii="David" w:hAnsi="David"/>
          <w:szCs w:val="24"/>
        </w:rPr>
      </w:pPr>
      <w:r w:rsidRPr="00EF60AD">
        <w:rPr>
          <w:rFonts w:ascii="David" w:hAnsi="David"/>
          <w:szCs w:val="24"/>
          <w:rtl/>
        </w:rPr>
        <w:t>אלא אם נאמר אחרת, לכל המונחים והמושגים האמורים במכתב הבהרה זה תהיה הפרשנות כאמור במסמכי המכרז.</w:t>
      </w:r>
    </w:p>
    <w:p w14:paraId="5BEE0E7F" w14:textId="77777777" w:rsidR="00B3646C" w:rsidRPr="00EF60AD" w:rsidRDefault="00B3646C" w:rsidP="00EF60AD">
      <w:pPr>
        <w:pStyle w:val="First"/>
        <w:numPr>
          <w:ilvl w:val="0"/>
          <w:numId w:val="46"/>
        </w:numPr>
        <w:spacing w:line="360" w:lineRule="auto"/>
        <w:outlineLvl w:val="0"/>
        <w:rPr>
          <w:rFonts w:ascii="David" w:hAnsi="David"/>
          <w:szCs w:val="24"/>
        </w:rPr>
      </w:pPr>
      <w:r w:rsidRPr="00EF60AD">
        <w:rPr>
          <w:rFonts w:ascii="David" w:hAnsi="David"/>
          <w:szCs w:val="24"/>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14:paraId="56AF00E4" w14:textId="5BA20273" w:rsidR="006D38D7" w:rsidRDefault="00B3646C" w:rsidP="00EF60AD">
      <w:pPr>
        <w:pStyle w:val="First"/>
        <w:numPr>
          <w:ilvl w:val="0"/>
          <w:numId w:val="46"/>
        </w:numPr>
        <w:spacing w:line="360" w:lineRule="auto"/>
        <w:outlineLvl w:val="0"/>
        <w:rPr>
          <w:rFonts w:ascii="David" w:hAnsi="David"/>
          <w:szCs w:val="24"/>
        </w:rPr>
      </w:pPr>
      <w:r w:rsidRPr="00EF60AD">
        <w:rPr>
          <w:rFonts w:ascii="David" w:hAnsi="David"/>
          <w:szCs w:val="24"/>
          <w:rtl/>
        </w:rPr>
        <w:t xml:space="preserve">האמור במכתב הבהרה זה אינו משנה או גורע מהאמור במסמכי המכרז אלא אם נאמר במפורש אחרת. </w:t>
      </w:r>
    </w:p>
    <w:p w14:paraId="7144DD8D" w14:textId="30A66122" w:rsidR="001F657C" w:rsidRPr="00EF60AD" w:rsidRDefault="001F657C" w:rsidP="002322CF">
      <w:pPr>
        <w:pStyle w:val="First"/>
        <w:numPr>
          <w:ilvl w:val="0"/>
          <w:numId w:val="46"/>
        </w:numPr>
        <w:spacing w:line="360" w:lineRule="auto"/>
        <w:outlineLvl w:val="0"/>
        <w:rPr>
          <w:rFonts w:ascii="David" w:hAnsi="David"/>
          <w:szCs w:val="24"/>
        </w:rPr>
      </w:pPr>
      <w:r>
        <w:rPr>
          <w:rFonts w:ascii="David" w:hAnsi="David" w:hint="cs"/>
          <w:szCs w:val="24"/>
          <w:rtl/>
        </w:rPr>
        <w:t xml:space="preserve">המועד האחרון להגשת ההצעות במכרז נדחה ליום </w:t>
      </w:r>
      <w:r w:rsidR="002322CF">
        <w:rPr>
          <w:rFonts w:ascii="David" w:hAnsi="David" w:hint="cs"/>
          <w:szCs w:val="24"/>
          <w:rtl/>
        </w:rPr>
        <w:t>03</w:t>
      </w:r>
      <w:r>
        <w:rPr>
          <w:rFonts w:ascii="David" w:hAnsi="David" w:hint="cs"/>
          <w:szCs w:val="24"/>
          <w:rtl/>
        </w:rPr>
        <w:t>.</w:t>
      </w:r>
      <w:r w:rsidR="002322CF">
        <w:rPr>
          <w:rFonts w:ascii="David" w:hAnsi="David" w:hint="cs"/>
          <w:szCs w:val="24"/>
          <w:rtl/>
        </w:rPr>
        <w:t>03</w:t>
      </w:r>
      <w:bookmarkStart w:id="3" w:name="_GoBack"/>
      <w:bookmarkEnd w:id="3"/>
      <w:r>
        <w:rPr>
          <w:rFonts w:ascii="David" w:hAnsi="David" w:hint="cs"/>
          <w:szCs w:val="24"/>
          <w:rtl/>
        </w:rPr>
        <w:t>.2019 בשעה 14:00.</w:t>
      </w:r>
    </w:p>
    <w:p w14:paraId="62687A97" w14:textId="77777777" w:rsidR="006D38D7" w:rsidRPr="00EF60AD" w:rsidRDefault="001D2E4D" w:rsidP="00EF60AD">
      <w:pPr>
        <w:pStyle w:val="First"/>
        <w:numPr>
          <w:ilvl w:val="0"/>
          <w:numId w:val="46"/>
        </w:numPr>
        <w:spacing w:line="360" w:lineRule="auto"/>
        <w:outlineLvl w:val="0"/>
        <w:rPr>
          <w:rFonts w:ascii="David" w:hAnsi="David"/>
          <w:szCs w:val="24"/>
        </w:rPr>
      </w:pPr>
      <w:r w:rsidRPr="00EF60AD">
        <w:rPr>
          <w:rFonts w:ascii="David" w:hAnsi="David"/>
          <w:szCs w:val="24"/>
          <w:rtl/>
        </w:rPr>
        <w:t>מצ"ב תשובות לשאלות המציעים</w:t>
      </w:r>
      <w:r w:rsidR="002401A9" w:rsidRPr="00EF60AD">
        <w:rPr>
          <w:rFonts w:ascii="David" w:hAnsi="David"/>
          <w:szCs w:val="24"/>
          <w:rtl/>
        </w:rPr>
        <w:t>, התשובות מרוכזות בטבלה בהתאם לסעיפים והעמודים הרלוונטיים במרכז עליהם שאלו המציעים:</w:t>
      </w:r>
    </w:p>
    <w:p w14:paraId="467F253D" w14:textId="77777777" w:rsidR="009A5883" w:rsidRPr="00EF60AD" w:rsidRDefault="009A5883" w:rsidP="00EF60AD">
      <w:pPr>
        <w:spacing w:beforeLines="25" w:before="60" w:afterLines="25" w:after="60" w:line="360" w:lineRule="auto"/>
        <w:rPr>
          <w:rFonts w:ascii="David" w:hAnsi="David" w:cs="David"/>
          <w:szCs w:val="24"/>
          <w:rtl/>
        </w:rPr>
      </w:pPr>
    </w:p>
    <w:tbl>
      <w:tblPr>
        <w:tblStyle w:val="ae"/>
        <w:bidiVisual/>
        <w:tblW w:w="9226" w:type="dxa"/>
        <w:tblInd w:w="-1" w:type="dxa"/>
        <w:tblLook w:val="04A0" w:firstRow="1" w:lastRow="0" w:firstColumn="1" w:lastColumn="0" w:noHBand="0" w:noVBand="1"/>
      </w:tblPr>
      <w:tblGrid>
        <w:gridCol w:w="540"/>
        <w:gridCol w:w="565"/>
        <w:gridCol w:w="1183"/>
        <w:gridCol w:w="4783"/>
        <w:gridCol w:w="2155"/>
      </w:tblGrid>
      <w:tr w:rsidR="00D65EC0" w:rsidRPr="00EF60AD" w14:paraId="0451AF61" w14:textId="77777777" w:rsidTr="00EF60AD">
        <w:trPr>
          <w:tblHeader/>
        </w:trPr>
        <w:tc>
          <w:tcPr>
            <w:tcW w:w="540" w:type="dxa"/>
            <w:shd w:val="clear" w:color="auto" w:fill="B6DDE8" w:themeFill="accent5" w:themeFillTint="66"/>
            <w:vAlign w:val="center"/>
          </w:tcPr>
          <w:p w14:paraId="16C4706D" w14:textId="3E93CBFB" w:rsidR="00D65EC0" w:rsidRPr="00EF60AD" w:rsidRDefault="00D65EC0" w:rsidP="00EF60AD">
            <w:pPr>
              <w:pStyle w:val="a7"/>
              <w:spacing w:beforeLines="25" w:before="60" w:afterLines="25" w:after="60"/>
              <w:ind w:left="0"/>
              <w:jc w:val="center"/>
              <w:rPr>
                <w:rFonts w:ascii="David" w:hAnsi="David" w:cs="David"/>
                <w:szCs w:val="24"/>
                <w:rtl/>
              </w:rPr>
            </w:pPr>
            <w:r w:rsidRPr="00EF60AD">
              <w:rPr>
                <w:rFonts w:ascii="David" w:hAnsi="David" w:cs="David"/>
                <w:color w:val="000000"/>
                <w:szCs w:val="24"/>
                <w:rtl/>
              </w:rPr>
              <w:t>1</w:t>
            </w:r>
          </w:p>
        </w:tc>
        <w:tc>
          <w:tcPr>
            <w:tcW w:w="565" w:type="dxa"/>
            <w:shd w:val="clear" w:color="auto" w:fill="B6DDE8" w:themeFill="accent5" w:themeFillTint="66"/>
            <w:vAlign w:val="center"/>
          </w:tcPr>
          <w:p w14:paraId="0919C238" w14:textId="77777777" w:rsidR="00D65EC0" w:rsidRPr="00EF60AD" w:rsidRDefault="00D65EC0" w:rsidP="00EF60AD">
            <w:pPr>
              <w:pStyle w:val="a7"/>
              <w:spacing w:beforeLines="25" w:before="60" w:afterLines="25" w:after="60"/>
              <w:ind w:left="0"/>
              <w:jc w:val="center"/>
              <w:rPr>
                <w:rFonts w:ascii="David" w:hAnsi="David" w:cs="David"/>
                <w:szCs w:val="24"/>
                <w:rtl/>
              </w:rPr>
            </w:pPr>
            <w:r w:rsidRPr="00EF60AD">
              <w:rPr>
                <w:rFonts w:ascii="David" w:hAnsi="David" w:cs="David"/>
                <w:szCs w:val="24"/>
                <w:rtl/>
              </w:rPr>
              <w:t>עמ'</w:t>
            </w:r>
          </w:p>
        </w:tc>
        <w:tc>
          <w:tcPr>
            <w:tcW w:w="1183" w:type="dxa"/>
            <w:shd w:val="clear" w:color="auto" w:fill="B6DDE8" w:themeFill="accent5" w:themeFillTint="66"/>
            <w:vAlign w:val="center"/>
          </w:tcPr>
          <w:p w14:paraId="3C3C8FCC" w14:textId="77777777" w:rsidR="00D65EC0" w:rsidRPr="00EF60AD" w:rsidRDefault="00D65EC0" w:rsidP="00EF60AD">
            <w:pPr>
              <w:pStyle w:val="a7"/>
              <w:spacing w:beforeLines="25" w:before="60" w:afterLines="25" w:after="60"/>
              <w:ind w:left="0"/>
              <w:jc w:val="center"/>
              <w:rPr>
                <w:rFonts w:ascii="David" w:hAnsi="David" w:cs="David"/>
                <w:szCs w:val="24"/>
                <w:rtl/>
              </w:rPr>
            </w:pPr>
            <w:r w:rsidRPr="00EF60AD">
              <w:rPr>
                <w:rFonts w:ascii="David" w:hAnsi="David" w:cs="David"/>
                <w:szCs w:val="24"/>
                <w:rtl/>
              </w:rPr>
              <w:t>סעיף</w:t>
            </w:r>
          </w:p>
        </w:tc>
        <w:tc>
          <w:tcPr>
            <w:tcW w:w="4901" w:type="dxa"/>
            <w:shd w:val="clear" w:color="auto" w:fill="B6DDE8" w:themeFill="accent5" w:themeFillTint="66"/>
          </w:tcPr>
          <w:p w14:paraId="7A655A73" w14:textId="77777777" w:rsidR="00D65EC0" w:rsidRPr="00EF60AD" w:rsidRDefault="00D65EC0" w:rsidP="00EF60AD">
            <w:pPr>
              <w:pStyle w:val="a7"/>
              <w:spacing w:beforeLines="25" w:before="60" w:afterLines="25" w:after="60"/>
              <w:ind w:left="0"/>
              <w:jc w:val="left"/>
              <w:rPr>
                <w:rFonts w:ascii="David" w:hAnsi="David" w:cs="David"/>
                <w:szCs w:val="24"/>
                <w:rtl/>
              </w:rPr>
            </w:pPr>
            <w:r w:rsidRPr="00EF60AD">
              <w:rPr>
                <w:rFonts w:ascii="David" w:hAnsi="David" w:cs="David"/>
                <w:szCs w:val="24"/>
                <w:rtl/>
              </w:rPr>
              <w:t>השאלה</w:t>
            </w:r>
          </w:p>
        </w:tc>
        <w:tc>
          <w:tcPr>
            <w:tcW w:w="2037" w:type="dxa"/>
            <w:shd w:val="clear" w:color="auto" w:fill="B6DDE8" w:themeFill="accent5" w:themeFillTint="66"/>
          </w:tcPr>
          <w:p w14:paraId="1D4BE9B6" w14:textId="77777777" w:rsidR="00D65EC0" w:rsidRPr="00EF60AD" w:rsidRDefault="00D65EC0" w:rsidP="00EF60AD">
            <w:pPr>
              <w:pStyle w:val="a7"/>
              <w:spacing w:beforeLines="25" w:before="60" w:afterLines="25" w:after="60"/>
              <w:ind w:left="0"/>
              <w:rPr>
                <w:rFonts w:ascii="David" w:hAnsi="David" w:cs="David"/>
                <w:szCs w:val="24"/>
                <w:rtl/>
              </w:rPr>
            </w:pPr>
            <w:r w:rsidRPr="00EF60AD">
              <w:rPr>
                <w:rFonts w:ascii="David" w:hAnsi="David" w:cs="David"/>
                <w:szCs w:val="24"/>
                <w:rtl/>
              </w:rPr>
              <w:t>תשובה</w:t>
            </w:r>
          </w:p>
        </w:tc>
      </w:tr>
      <w:tr w:rsidR="00D65EC0" w:rsidRPr="00EF60AD" w14:paraId="1FC727B1" w14:textId="77777777" w:rsidTr="003B2F06">
        <w:trPr>
          <w:trHeight w:val="2130"/>
        </w:trPr>
        <w:tc>
          <w:tcPr>
            <w:tcW w:w="540" w:type="dxa"/>
            <w:noWrap/>
            <w:vAlign w:val="center"/>
            <w:hideMark/>
          </w:tcPr>
          <w:p w14:paraId="4CC1E1EC" w14:textId="2E0D54D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2</w:t>
            </w:r>
          </w:p>
        </w:tc>
        <w:tc>
          <w:tcPr>
            <w:tcW w:w="565" w:type="dxa"/>
            <w:noWrap/>
            <w:vAlign w:val="center"/>
            <w:hideMark/>
          </w:tcPr>
          <w:p w14:paraId="4504F1BA"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w:t>
            </w:r>
          </w:p>
        </w:tc>
        <w:tc>
          <w:tcPr>
            <w:tcW w:w="1183" w:type="dxa"/>
            <w:noWrap/>
            <w:vAlign w:val="center"/>
            <w:hideMark/>
          </w:tcPr>
          <w:p w14:paraId="69BA41FD"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w:t>
            </w:r>
          </w:p>
        </w:tc>
        <w:tc>
          <w:tcPr>
            <w:tcW w:w="4901" w:type="dxa"/>
            <w:hideMark/>
          </w:tcPr>
          <w:p w14:paraId="29826373" w14:textId="77777777" w:rsidR="00D65EC0" w:rsidRPr="00EF60AD" w:rsidRDefault="00D65EC0" w:rsidP="00EF60AD">
            <w:pPr>
              <w:spacing w:line="360" w:lineRule="auto"/>
              <w:rPr>
                <w:rFonts w:ascii="David" w:hAnsi="David" w:cs="David"/>
                <w:szCs w:val="24"/>
                <w:rtl/>
                <w:lang w:eastAsia="en-US"/>
              </w:rPr>
            </w:pPr>
            <w:r w:rsidRPr="00EF60AD">
              <w:rPr>
                <w:rFonts w:ascii="David" w:hAnsi="David" w:cs="David"/>
                <w:szCs w:val="24"/>
                <w:rtl/>
                <w:lang w:eastAsia="en-US"/>
              </w:rPr>
              <w:t>"</w:t>
            </w:r>
            <w:r w:rsidRPr="00EF60AD">
              <w:rPr>
                <w:rFonts w:ascii="David" w:hAnsi="David" w:cs="David"/>
                <w:i/>
                <w:iCs/>
                <w:szCs w:val="24"/>
                <w:rtl/>
                <w:lang w:eastAsia="en-US"/>
              </w:rPr>
              <w:t>מציע רשאי להגיש הצעה לסל אחד בלבד או ליותר מסל אחד בהתאם לשיקול דעתו</w:t>
            </w:r>
            <w:r w:rsidRPr="00EF60AD">
              <w:rPr>
                <w:rFonts w:ascii="David" w:hAnsi="David" w:cs="David"/>
                <w:szCs w:val="24"/>
                <w:rtl/>
                <w:lang w:eastAsia="en-US"/>
              </w:rPr>
              <w:t xml:space="preserve">." מוצע לקבוע כי מציע שזכה בסל 1 – ייעוץ אסטרטגי, לא יוכל לזכות (אך יוכל להתמודד בפניה פרטנית ולהעניק שירותים) בשני הסלים האחרים. בכך, יובטח לאגף התקציבים מאגר רחב ומגוון, שיאפשר התאמה של כל מטלת ייעוץ לגורם בעל הניסיון וההתמחות המתאים ביותר. </w:t>
            </w:r>
            <w:r w:rsidRPr="00EF60AD">
              <w:rPr>
                <w:rFonts w:ascii="David" w:hAnsi="David" w:cs="David"/>
                <w:szCs w:val="24"/>
                <w:rtl/>
                <w:lang w:eastAsia="en-US"/>
              </w:rPr>
              <w:br/>
              <w:t xml:space="preserve">כפי שהמכרז בנוי כרגע, הואיל ובחינות כלכליות והשוואות בינלאומיות מהוות נדבכים במתודולוגיה לביצוע עבודות אסטרטגיות, ובהתחשב באמות המידה שנקבעו למציעים לכל אחד מהסלים, גבוהים הסיכויים שאותם 4 חברות שייבחרו בסל -1, ייבחרו </w:t>
            </w:r>
            <w:r w:rsidRPr="00EF60AD">
              <w:rPr>
                <w:rFonts w:ascii="David" w:hAnsi="David" w:cs="David"/>
                <w:szCs w:val="24"/>
                <w:rtl/>
                <w:lang w:eastAsia="en-US"/>
              </w:rPr>
              <w:lastRenderedPageBreak/>
              <w:t xml:space="preserve">גם בשני הסלים הנוספים, </w:t>
            </w:r>
            <w:r w:rsidRPr="00EF60AD">
              <w:rPr>
                <w:rFonts w:ascii="David" w:hAnsi="David" w:cs="David"/>
                <w:b/>
                <w:bCs/>
                <w:szCs w:val="24"/>
                <w:rtl/>
                <w:lang w:eastAsia="en-US"/>
              </w:rPr>
              <w:t xml:space="preserve">כך שבפועל במקום 12 חברות במאגר תהיינה 4 בלבד. </w:t>
            </w:r>
          </w:p>
        </w:tc>
        <w:tc>
          <w:tcPr>
            <w:tcW w:w="2037" w:type="dxa"/>
            <w:noWrap/>
            <w:hideMark/>
          </w:tcPr>
          <w:p w14:paraId="0A2DF2C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lastRenderedPageBreak/>
              <w:t> </w:t>
            </w:r>
            <w:r w:rsidRPr="00EF60AD">
              <w:rPr>
                <w:rFonts w:ascii="David" w:hAnsi="David" w:cs="David"/>
                <w:color w:val="000000"/>
                <w:szCs w:val="24"/>
                <w:rtl/>
                <w:lang w:eastAsia="en-US"/>
              </w:rPr>
              <w:t xml:space="preserve">מסמכי המכרז תוקנו כך שמציע יכול להגיש הצעה לסל אחד או יותר אך מציע לא יוכל להיבחר כזוכה בסל 1 וגם בסל 2. יובהר כי מציע יוכל להיבחר כזוכה באחד מהסלים האמורים ( 1 או 2) וגם כזוכה בסל 3. </w:t>
            </w:r>
          </w:p>
        </w:tc>
      </w:tr>
      <w:tr w:rsidR="00D65EC0" w:rsidRPr="00EF60AD" w14:paraId="5A7BEDE5" w14:textId="77777777" w:rsidTr="003B2F06">
        <w:trPr>
          <w:trHeight w:val="660"/>
        </w:trPr>
        <w:tc>
          <w:tcPr>
            <w:tcW w:w="540" w:type="dxa"/>
            <w:noWrap/>
            <w:vAlign w:val="center"/>
            <w:hideMark/>
          </w:tcPr>
          <w:p w14:paraId="364A66A7" w14:textId="34D07B57"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3</w:t>
            </w:r>
          </w:p>
        </w:tc>
        <w:tc>
          <w:tcPr>
            <w:tcW w:w="565" w:type="dxa"/>
            <w:noWrap/>
            <w:vAlign w:val="center"/>
            <w:hideMark/>
          </w:tcPr>
          <w:p w14:paraId="5F50D4BB"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w:t>
            </w:r>
          </w:p>
        </w:tc>
        <w:tc>
          <w:tcPr>
            <w:tcW w:w="1183" w:type="dxa"/>
            <w:noWrap/>
            <w:vAlign w:val="center"/>
            <w:hideMark/>
          </w:tcPr>
          <w:p w14:paraId="3AFDEF63"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w:t>
            </w:r>
          </w:p>
        </w:tc>
        <w:tc>
          <w:tcPr>
            <w:tcW w:w="4901" w:type="dxa"/>
            <w:hideMark/>
          </w:tcPr>
          <w:p w14:paraId="3AD5808F"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האם ייתכן מצב בו במסגרת פרויקט מסוים יחיד, אגף התקציבים יזמין עבודות נפרדות משלושת הסלים (אסטרטגי, כלכלי ומידענות), או שמא הזמנת העבודה האסטרטגית תכלול בתוכה גם עבודה כלכלית ועבודת מידענות? </w:t>
            </w:r>
          </w:p>
        </w:tc>
        <w:tc>
          <w:tcPr>
            <w:tcW w:w="2037" w:type="dxa"/>
            <w:noWrap/>
            <w:hideMark/>
          </w:tcPr>
          <w:p w14:paraId="2BB1AE64"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אין שינוי במסמכי המכרז. </w:t>
            </w:r>
          </w:p>
        </w:tc>
      </w:tr>
      <w:tr w:rsidR="00D65EC0" w:rsidRPr="00EF60AD" w14:paraId="11A18D01" w14:textId="77777777" w:rsidTr="003B2F06">
        <w:trPr>
          <w:trHeight w:val="765"/>
        </w:trPr>
        <w:tc>
          <w:tcPr>
            <w:tcW w:w="540" w:type="dxa"/>
            <w:noWrap/>
            <w:vAlign w:val="center"/>
            <w:hideMark/>
          </w:tcPr>
          <w:p w14:paraId="5F62538A" w14:textId="722177CF"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4</w:t>
            </w:r>
          </w:p>
        </w:tc>
        <w:tc>
          <w:tcPr>
            <w:tcW w:w="565" w:type="dxa"/>
            <w:noWrap/>
            <w:vAlign w:val="center"/>
            <w:hideMark/>
          </w:tcPr>
          <w:p w14:paraId="5A2BBDCE"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6</w:t>
            </w:r>
          </w:p>
        </w:tc>
        <w:tc>
          <w:tcPr>
            <w:tcW w:w="1183" w:type="dxa"/>
            <w:vAlign w:val="center"/>
            <w:hideMark/>
          </w:tcPr>
          <w:p w14:paraId="5B1D7E85"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4.3.4</w:t>
            </w:r>
          </w:p>
        </w:tc>
        <w:tc>
          <w:tcPr>
            <w:tcW w:w="4901" w:type="dxa"/>
            <w:hideMark/>
          </w:tcPr>
          <w:p w14:paraId="158BA9BB"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1. האם ייעוץ שעתי הוא סל נפרד? בסעיף 4.3 מצוין שלושה סלים</w:t>
            </w:r>
            <w:r w:rsidRPr="00EF60AD">
              <w:rPr>
                <w:rFonts w:ascii="David" w:hAnsi="David" w:cs="David"/>
                <w:szCs w:val="24"/>
                <w:rtl/>
                <w:lang w:eastAsia="en-US"/>
              </w:rPr>
              <w:br/>
              <w:t>2. אם כן האם אפשר להגיש הצעה ללא ייעוץ שעתי (ייעוץ לפי תפוקה בלבד)?</w:t>
            </w:r>
            <w:r w:rsidRPr="00EF60AD">
              <w:rPr>
                <w:rFonts w:ascii="David" w:hAnsi="David" w:cs="David"/>
                <w:szCs w:val="24"/>
                <w:rtl/>
                <w:lang w:eastAsia="en-US"/>
              </w:rPr>
              <w:br/>
              <w:t>או</w:t>
            </w:r>
            <w:r w:rsidRPr="00EF60AD">
              <w:rPr>
                <w:rFonts w:ascii="David" w:hAnsi="David" w:cs="David"/>
                <w:szCs w:val="24"/>
                <w:rtl/>
                <w:lang w:eastAsia="en-US"/>
              </w:rPr>
              <w:br/>
              <w:t>3. האם ייעוץ שעתי הוא חלק משלושת הסלים?</w:t>
            </w:r>
          </w:p>
        </w:tc>
        <w:tc>
          <w:tcPr>
            <w:tcW w:w="2037" w:type="dxa"/>
            <w:noWrap/>
            <w:hideMark/>
          </w:tcPr>
          <w:p w14:paraId="29FB369D"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1. כן מדובר על סל נפרד אך שלא נדרש להגיש אליו הצעה באופן נפרד אלא שכל החברות שזכו באחד משלושת הסלים יכללו בו אוטומטית</w:t>
            </w:r>
          </w:p>
          <w:p w14:paraId="256AEA0C"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2. כל המציעים שייבחרו כזוכים יכללו גם בסל הייעוץ השעתי. </w:t>
            </w:r>
          </w:p>
        </w:tc>
      </w:tr>
      <w:tr w:rsidR="00D65EC0" w:rsidRPr="00EF60AD" w14:paraId="43F10D90" w14:textId="77777777" w:rsidTr="003B2F06">
        <w:trPr>
          <w:trHeight w:val="795"/>
        </w:trPr>
        <w:tc>
          <w:tcPr>
            <w:tcW w:w="540" w:type="dxa"/>
            <w:noWrap/>
            <w:vAlign w:val="center"/>
            <w:hideMark/>
          </w:tcPr>
          <w:p w14:paraId="7DAB0D24" w14:textId="1A86DD5C"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w:t>
            </w:r>
          </w:p>
        </w:tc>
        <w:tc>
          <w:tcPr>
            <w:tcW w:w="565" w:type="dxa"/>
            <w:vAlign w:val="center"/>
            <w:hideMark/>
          </w:tcPr>
          <w:p w14:paraId="26241D9C"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6</w:t>
            </w:r>
          </w:p>
        </w:tc>
        <w:tc>
          <w:tcPr>
            <w:tcW w:w="1183" w:type="dxa"/>
            <w:vAlign w:val="center"/>
            <w:hideMark/>
          </w:tcPr>
          <w:p w14:paraId="5290A324"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4.3.4</w:t>
            </w:r>
          </w:p>
        </w:tc>
        <w:tc>
          <w:tcPr>
            <w:tcW w:w="4901" w:type="dxa"/>
            <w:hideMark/>
          </w:tcPr>
          <w:p w14:paraId="11CF8222"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למרות שעיקר המכרז הוא עבודה במודל תפוקות, במקרים בדידים עשויה להיות עבודה נקודתית, כגון בליווי מסוים של היישום של תכנית אסטרטגית, במודל שעתי על בסיס תעריפי החשב הכללי לשעות ייעוץ. במכרזים המשלבים אפשרות נקודתית לעבודה שעתית בתעריפים שכאלה, לצד מודל עיקרי של תפוקות, נהוג להגביל את כמות השעות. כך למשל בוצע במכרז מקביל של משרד כלכלי גדול אחר בשנתיים האחרונות, שם העבודות השעתיות הנקודתיות שלצד התפוקות הוגבלו ל-200 שעות, וזו על מנת שלא להדיר חברות בינלאומיות/מובילות אשר מודל זה אינו סביר עבורן. האם ניתן ברוח זו להגביל תקרת עבודה של למשל 200 שעות במודל השעתי?</w:t>
            </w:r>
          </w:p>
        </w:tc>
        <w:tc>
          <w:tcPr>
            <w:tcW w:w="2037" w:type="dxa"/>
            <w:noWrap/>
            <w:hideMark/>
          </w:tcPr>
          <w:p w14:paraId="60C014F6" w14:textId="37FC7BCD"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אין שינוי במסמכי המכרז. מגבלת שעות תקבע פרטנית ככל </w:t>
            </w:r>
            <w:r w:rsidR="00C41676" w:rsidRPr="00EF60AD">
              <w:rPr>
                <w:rFonts w:ascii="David" w:hAnsi="David" w:cs="David"/>
                <w:color w:val="000000"/>
                <w:szCs w:val="24"/>
                <w:rtl/>
                <w:lang w:eastAsia="en-US"/>
              </w:rPr>
              <w:t>שיידרש</w:t>
            </w:r>
            <w:r w:rsidRPr="00EF60AD">
              <w:rPr>
                <w:rFonts w:ascii="David" w:hAnsi="David" w:cs="David"/>
                <w:color w:val="000000"/>
                <w:szCs w:val="24"/>
                <w:rtl/>
                <w:lang w:eastAsia="en-US"/>
              </w:rPr>
              <w:t xml:space="preserve"> בהתקשרות מסוימת.</w:t>
            </w:r>
          </w:p>
        </w:tc>
      </w:tr>
      <w:tr w:rsidR="00D65EC0" w:rsidRPr="00EF60AD" w14:paraId="23DB8644" w14:textId="77777777" w:rsidTr="003B2F06">
        <w:trPr>
          <w:trHeight w:val="300"/>
        </w:trPr>
        <w:tc>
          <w:tcPr>
            <w:tcW w:w="540" w:type="dxa"/>
            <w:noWrap/>
            <w:vAlign w:val="center"/>
            <w:hideMark/>
          </w:tcPr>
          <w:p w14:paraId="11A2323E" w14:textId="2DA4134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w:t>
            </w:r>
          </w:p>
        </w:tc>
        <w:tc>
          <w:tcPr>
            <w:tcW w:w="565" w:type="dxa"/>
            <w:noWrap/>
            <w:vAlign w:val="center"/>
            <w:hideMark/>
          </w:tcPr>
          <w:p w14:paraId="166E41B4"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7</w:t>
            </w:r>
          </w:p>
        </w:tc>
        <w:tc>
          <w:tcPr>
            <w:tcW w:w="1183" w:type="dxa"/>
            <w:noWrap/>
            <w:vAlign w:val="center"/>
            <w:hideMark/>
          </w:tcPr>
          <w:p w14:paraId="1EDB4D51"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4.6</w:t>
            </w:r>
          </w:p>
        </w:tc>
        <w:tc>
          <w:tcPr>
            <w:tcW w:w="4901" w:type="dxa"/>
            <w:hideMark/>
          </w:tcPr>
          <w:p w14:paraId="5E31D55F"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 </w:t>
            </w:r>
            <w:r w:rsidRPr="00EF60AD">
              <w:rPr>
                <w:rFonts w:ascii="David" w:hAnsi="David" w:cs="David"/>
                <w:i/>
                <w:iCs/>
                <w:szCs w:val="24"/>
                <w:rtl/>
                <w:lang w:eastAsia="en-US"/>
              </w:rPr>
              <w:t>"פניה לקבלת שירותי ייעוץ שעתי כלכלי כאמור בסעיף 4.3.4.1 תבוצע לכל ספקי מכרז המסגרת של סלים 1 ו-2".</w:t>
            </w:r>
            <w:r w:rsidRPr="00EF60AD">
              <w:rPr>
                <w:rFonts w:ascii="David" w:hAnsi="David" w:cs="David"/>
                <w:szCs w:val="24"/>
                <w:rtl/>
                <w:lang w:eastAsia="en-US"/>
              </w:rPr>
              <w:t xml:space="preserve"> במידה ונבחר שלא להגיש הצעת עבודה </w:t>
            </w:r>
            <w:r w:rsidRPr="00EF60AD">
              <w:rPr>
                <w:rFonts w:ascii="David" w:hAnsi="David" w:cs="David"/>
                <w:szCs w:val="24"/>
                <w:rtl/>
                <w:lang w:eastAsia="en-US"/>
              </w:rPr>
              <w:lastRenderedPageBreak/>
              <w:t>עבור ייעוץ שעתי, האם הדבר ייפגע בניקוד לו נזכה במסגרת סל הייעוץ האסטרטגי?  </w:t>
            </w:r>
          </w:p>
        </w:tc>
        <w:tc>
          <w:tcPr>
            <w:tcW w:w="2037" w:type="dxa"/>
            <w:noWrap/>
            <w:hideMark/>
          </w:tcPr>
          <w:p w14:paraId="38D37926"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lastRenderedPageBreak/>
              <w:t xml:space="preserve">סעיף 12.1.8 לעניין הפחתת נקודות בגין אי הגשת מענה להצעת </w:t>
            </w:r>
            <w:r w:rsidRPr="00EF60AD">
              <w:rPr>
                <w:rFonts w:ascii="David" w:hAnsi="David" w:cs="David"/>
                <w:color w:val="000000"/>
                <w:szCs w:val="24"/>
                <w:rtl/>
                <w:lang w:eastAsia="en-US"/>
              </w:rPr>
              <w:lastRenderedPageBreak/>
              <w:t>עבודה חלה גם על אי הגשת הצעה לעבודת בסל שירותי יעוץ שעתי</w:t>
            </w:r>
          </w:p>
        </w:tc>
      </w:tr>
      <w:tr w:rsidR="00D65EC0" w:rsidRPr="00EF60AD" w14:paraId="6595F3F1" w14:textId="77777777" w:rsidTr="003B2F06">
        <w:trPr>
          <w:trHeight w:val="660"/>
        </w:trPr>
        <w:tc>
          <w:tcPr>
            <w:tcW w:w="540" w:type="dxa"/>
            <w:noWrap/>
            <w:vAlign w:val="center"/>
            <w:hideMark/>
          </w:tcPr>
          <w:p w14:paraId="37BAA1EA" w14:textId="34971620"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7</w:t>
            </w:r>
          </w:p>
        </w:tc>
        <w:tc>
          <w:tcPr>
            <w:tcW w:w="565" w:type="dxa"/>
            <w:noWrap/>
            <w:vAlign w:val="center"/>
            <w:hideMark/>
          </w:tcPr>
          <w:p w14:paraId="0DE2653A"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11</w:t>
            </w:r>
          </w:p>
        </w:tc>
        <w:tc>
          <w:tcPr>
            <w:tcW w:w="1183" w:type="dxa"/>
            <w:noWrap/>
            <w:vAlign w:val="center"/>
            <w:hideMark/>
          </w:tcPr>
          <w:p w14:paraId="41522608"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5.ג'</w:t>
            </w:r>
          </w:p>
        </w:tc>
        <w:tc>
          <w:tcPr>
            <w:tcW w:w="4901" w:type="dxa"/>
            <w:hideMark/>
          </w:tcPr>
          <w:p w14:paraId="0789D115"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ישנה טעות במספור הסעיפים:  סל 3 – מידענות וייעוץ  - איננו ממוספר, צריך להיות סעיף ג. ייעוץ שעתי צריך להיות סעיף ד'.</w:t>
            </w:r>
          </w:p>
        </w:tc>
        <w:tc>
          <w:tcPr>
            <w:tcW w:w="2037" w:type="dxa"/>
            <w:noWrap/>
            <w:hideMark/>
          </w:tcPr>
          <w:p w14:paraId="4D26D3BE"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מסמכי המכרז יתוקנו </w:t>
            </w:r>
          </w:p>
        </w:tc>
      </w:tr>
      <w:tr w:rsidR="00D65EC0" w:rsidRPr="00EF60AD" w14:paraId="62E5B2A0" w14:textId="77777777" w:rsidTr="003B2F06">
        <w:trPr>
          <w:trHeight w:val="300"/>
        </w:trPr>
        <w:tc>
          <w:tcPr>
            <w:tcW w:w="540" w:type="dxa"/>
            <w:noWrap/>
            <w:vAlign w:val="center"/>
            <w:hideMark/>
          </w:tcPr>
          <w:p w14:paraId="44BC4F2C" w14:textId="4EE6BDC6"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8</w:t>
            </w:r>
          </w:p>
        </w:tc>
        <w:tc>
          <w:tcPr>
            <w:tcW w:w="565" w:type="dxa"/>
            <w:noWrap/>
            <w:vAlign w:val="center"/>
            <w:hideMark/>
          </w:tcPr>
          <w:p w14:paraId="07363709"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11</w:t>
            </w:r>
          </w:p>
        </w:tc>
        <w:tc>
          <w:tcPr>
            <w:tcW w:w="1183" w:type="dxa"/>
            <w:noWrap/>
            <w:vAlign w:val="center"/>
            <w:hideMark/>
          </w:tcPr>
          <w:p w14:paraId="45EA04E6"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6</w:t>
            </w:r>
          </w:p>
        </w:tc>
        <w:tc>
          <w:tcPr>
            <w:tcW w:w="4901" w:type="dxa"/>
            <w:hideMark/>
          </w:tcPr>
          <w:p w14:paraId="3DCAC0F9"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קיימת סתירה בין המועדים הקבועים ב 3.2 ו-3.3 להסכם (עמ'  32 - "3.2 תקופת ההתקשרות הינו לשלוש שנים ממועד חתימת </w:t>
            </w:r>
            <w:proofErr w:type="spellStart"/>
            <w:r w:rsidRPr="00EF60AD">
              <w:rPr>
                <w:rFonts w:ascii="David" w:hAnsi="David" w:cs="David"/>
                <w:szCs w:val="24"/>
                <w:rtl/>
                <w:lang w:eastAsia="en-US"/>
              </w:rPr>
              <w:t>מורשי</w:t>
            </w:r>
            <w:proofErr w:type="spellEnd"/>
            <w:r w:rsidRPr="00EF60AD">
              <w:rPr>
                <w:rFonts w:ascii="David" w:hAnsi="David" w:cs="David"/>
                <w:szCs w:val="24"/>
                <w:rtl/>
                <w:lang w:eastAsia="en-US"/>
              </w:rPr>
              <w:t xml:space="preserve"> החתימה מטעם המשרד על הסכם ההתקשרות. 3.3 למזמין קיימת אופציה להארכת תקופת ההתקשרות בשתי תקופות נוספות בנות שנה.) לבין האמור ב 6 (א) (ב) (עמ' 11 - "א. משך ההתקשרות עם הזוכים הוא לתקופה של שנה מיום חתימת הסכם ההתקשרות, המצורף למסמכי מכרז זה, על ידי </w:t>
            </w:r>
            <w:proofErr w:type="spellStart"/>
            <w:r w:rsidRPr="00EF60AD">
              <w:rPr>
                <w:rFonts w:ascii="David" w:hAnsi="David" w:cs="David"/>
                <w:szCs w:val="24"/>
                <w:rtl/>
                <w:lang w:eastAsia="en-US"/>
              </w:rPr>
              <w:t>מורשי</w:t>
            </w:r>
            <w:proofErr w:type="spellEnd"/>
            <w:r w:rsidRPr="00EF60AD">
              <w:rPr>
                <w:rFonts w:ascii="David" w:hAnsi="David" w:cs="David"/>
                <w:szCs w:val="24"/>
                <w:rtl/>
                <w:lang w:eastAsia="en-US"/>
              </w:rPr>
              <w:t xml:space="preserve"> החתימה מטעמו של המזמין (להלן: "תקופת ההתקשרות הראשונה"). ב. למזמין שמורות ארבע אופציות בנות שנה כל אחת להארכת תקופת ההתקשרות. הודעה על הארכת ההתקשרות תועבר לזוכים לפחות חודש ימים מראש.")</w:t>
            </w:r>
          </w:p>
        </w:tc>
        <w:tc>
          <w:tcPr>
            <w:tcW w:w="2037" w:type="dxa"/>
            <w:noWrap/>
            <w:hideMark/>
          </w:tcPr>
          <w:p w14:paraId="2659ECFF"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תקופת ההתקשרות היא שנה עם 4 אופציות. מסמכי המכרז יתוקנו.</w:t>
            </w:r>
          </w:p>
        </w:tc>
      </w:tr>
      <w:tr w:rsidR="00D65EC0" w:rsidRPr="00EF60AD" w14:paraId="0D1894C4" w14:textId="77777777" w:rsidTr="003B2F06">
        <w:trPr>
          <w:trHeight w:val="660"/>
        </w:trPr>
        <w:tc>
          <w:tcPr>
            <w:tcW w:w="540" w:type="dxa"/>
            <w:noWrap/>
            <w:vAlign w:val="center"/>
            <w:hideMark/>
          </w:tcPr>
          <w:p w14:paraId="2102829D" w14:textId="185EB52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w:t>
            </w:r>
          </w:p>
        </w:tc>
        <w:tc>
          <w:tcPr>
            <w:tcW w:w="565" w:type="dxa"/>
            <w:noWrap/>
            <w:vAlign w:val="center"/>
            <w:hideMark/>
          </w:tcPr>
          <w:p w14:paraId="78597662"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12</w:t>
            </w:r>
          </w:p>
        </w:tc>
        <w:tc>
          <w:tcPr>
            <w:tcW w:w="1183" w:type="dxa"/>
            <w:vAlign w:val="center"/>
            <w:hideMark/>
          </w:tcPr>
          <w:p w14:paraId="1B1F7408"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7.1.5</w:t>
            </w:r>
          </w:p>
        </w:tc>
        <w:tc>
          <w:tcPr>
            <w:tcW w:w="4901" w:type="dxa"/>
            <w:hideMark/>
          </w:tcPr>
          <w:p w14:paraId="20B31613"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לא ברור מה גובה הערבות הנדרשת היות ובסעיף זה נכתב כי גובה ערבות ההצעה הינו 20,000 ש"ח ובסעיף 14 למסמכי המכרז, צוין כי גובה ערבות ההצעה הינו 50,000 ₪ </w:t>
            </w:r>
          </w:p>
        </w:tc>
        <w:tc>
          <w:tcPr>
            <w:tcW w:w="2037" w:type="dxa"/>
            <w:noWrap/>
            <w:hideMark/>
          </w:tcPr>
          <w:p w14:paraId="11628F1A"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סכום הערבות הנדרשת הוא 20,000 ₪. מסמכי המכרז יתוקנו.</w:t>
            </w:r>
          </w:p>
        </w:tc>
      </w:tr>
      <w:tr w:rsidR="00D65EC0" w:rsidRPr="00EF60AD" w14:paraId="208600F4" w14:textId="77777777" w:rsidTr="003B2F06">
        <w:trPr>
          <w:trHeight w:val="330"/>
        </w:trPr>
        <w:tc>
          <w:tcPr>
            <w:tcW w:w="540" w:type="dxa"/>
            <w:noWrap/>
            <w:vAlign w:val="center"/>
            <w:hideMark/>
          </w:tcPr>
          <w:p w14:paraId="030FDF26" w14:textId="2B1EF115"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10</w:t>
            </w:r>
          </w:p>
        </w:tc>
        <w:tc>
          <w:tcPr>
            <w:tcW w:w="565" w:type="dxa"/>
            <w:vAlign w:val="center"/>
            <w:hideMark/>
          </w:tcPr>
          <w:p w14:paraId="12F07446"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12</w:t>
            </w:r>
          </w:p>
        </w:tc>
        <w:tc>
          <w:tcPr>
            <w:tcW w:w="1183" w:type="dxa"/>
            <w:noWrap/>
            <w:vAlign w:val="center"/>
            <w:hideMark/>
          </w:tcPr>
          <w:p w14:paraId="2DA94F24"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7.1.5</w:t>
            </w:r>
          </w:p>
        </w:tc>
        <w:tc>
          <w:tcPr>
            <w:tcW w:w="4901" w:type="dxa"/>
            <w:hideMark/>
          </w:tcPr>
          <w:p w14:paraId="534DDAEA"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במידה ואותה חברה מציעה את עצמה ל-2 סלים, האם ניתן להסתפק בערבות אחת בלבד?</w:t>
            </w:r>
          </w:p>
        </w:tc>
        <w:tc>
          <w:tcPr>
            <w:tcW w:w="2037" w:type="dxa"/>
            <w:noWrap/>
            <w:hideMark/>
          </w:tcPr>
          <w:p w14:paraId="6CD41DBE"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ניתן להסתפק בערבות אחת. </w:t>
            </w:r>
          </w:p>
        </w:tc>
      </w:tr>
      <w:tr w:rsidR="00D65EC0" w:rsidRPr="00EF60AD" w14:paraId="7F462318" w14:textId="77777777" w:rsidTr="003B2F06">
        <w:trPr>
          <w:trHeight w:val="660"/>
        </w:trPr>
        <w:tc>
          <w:tcPr>
            <w:tcW w:w="540" w:type="dxa"/>
            <w:noWrap/>
            <w:vAlign w:val="center"/>
            <w:hideMark/>
          </w:tcPr>
          <w:p w14:paraId="4FDF5F17" w14:textId="4D96FC17"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11</w:t>
            </w:r>
          </w:p>
        </w:tc>
        <w:tc>
          <w:tcPr>
            <w:tcW w:w="565" w:type="dxa"/>
            <w:noWrap/>
            <w:vAlign w:val="center"/>
            <w:hideMark/>
          </w:tcPr>
          <w:p w14:paraId="474FD603"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13</w:t>
            </w:r>
          </w:p>
        </w:tc>
        <w:tc>
          <w:tcPr>
            <w:tcW w:w="1183" w:type="dxa"/>
            <w:vAlign w:val="center"/>
            <w:hideMark/>
          </w:tcPr>
          <w:p w14:paraId="5CD21711"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7.2.2.1 7.2.2.2</w:t>
            </w:r>
          </w:p>
        </w:tc>
        <w:tc>
          <w:tcPr>
            <w:tcW w:w="4901" w:type="dxa"/>
            <w:hideMark/>
          </w:tcPr>
          <w:p w14:paraId="02CBC930"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האם הסכומים המצוינים בסעיף אינם כוללים מע"מ?</w:t>
            </w:r>
          </w:p>
        </w:tc>
        <w:tc>
          <w:tcPr>
            <w:tcW w:w="2037" w:type="dxa"/>
            <w:noWrap/>
            <w:hideMark/>
          </w:tcPr>
          <w:p w14:paraId="5EF1DA07"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הסכומים אינם כוללים מע"מ</w:t>
            </w:r>
          </w:p>
        </w:tc>
      </w:tr>
      <w:tr w:rsidR="00D65EC0" w:rsidRPr="00EF60AD" w14:paraId="639E9C2E" w14:textId="77777777" w:rsidTr="003B2F06">
        <w:trPr>
          <w:trHeight w:val="1320"/>
        </w:trPr>
        <w:tc>
          <w:tcPr>
            <w:tcW w:w="540" w:type="dxa"/>
            <w:noWrap/>
            <w:vAlign w:val="center"/>
            <w:hideMark/>
          </w:tcPr>
          <w:p w14:paraId="40BD5DC8" w14:textId="440D9A42"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12</w:t>
            </w:r>
          </w:p>
        </w:tc>
        <w:tc>
          <w:tcPr>
            <w:tcW w:w="565" w:type="dxa"/>
            <w:noWrap/>
            <w:vAlign w:val="center"/>
            <w:hideMark/>
          </w:tcPr>
          <w:p w14:paraId="3BC3AA7B"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13</w:t>
            </w:r>
          </w:p>
        </w:tc>
        <w:tc>
          <w:tcPr>
            <w:tcW w:w="1183" w:type="dxa"/>
            <w:noWrap/>
            <w:vAlign w:val="center"/>
            <w:hideMark/>
          </w:tcPr>
          <w:p w14:paraId="5C700EF1"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7.2.3</w:t>
            </w:r>
          </w:p>
        </w:tc>
        <w:tc>
          <w:tcPr>
            <w:tcW w:w="4901" w:type="dxa"/>
            <w:hideMark/>
          </w:tcPr>
          <w:p w14:paraId="51FA20B8" w14:textId="49C90402"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b/>
                <w:bCs/>
                <w:szCs w:val="24"/>
                <w:rtl/>
                <w:lang w:eastAsia="en-US"/>
              </w:rPr>
              <w:t xml:space="preserve">ניסוח א': </w:t>
            </w:r>
            <w:r w:rsidRPr="00EF60AD">
              <w:rPr>
                <w:rFonts w:ascii="David" w:hAnsi="David" w:cs="David"/>
                <w:szCs w:val="24"/>
                <w:rtl/>
                <w:lang w:eastAsia="en-US"/>
              </w:rPr>
              <w:t xml:space="preserve">האם יש צורך לעמוד רק באחד משני התנאים (סעיפים 7.1.2.1 ו-7.1.2.2) או בשניהם ביחד? בתיאור סעיף 7.2.3 מופיעה המילה "באחד", אולם בין בסעיף 7.1.2.1 וסעיף 7.1.2.2 מופיעה המילה וגם. </w:t>
            </w:r>
            <w:r w:rsidRPr="00EF60AD">
              <w:rPr>
                <w:rFonts w:ascii="David" w:hAnsi="David" w:cs="David"/>
                <w:b/>
                <w:bCs/>
                <w:szCs w:val="24"/>
                <w:rtl/>
                <w:lang w:eastAsia="en-US"/>
              </w:rPr>
              <w:t>ניסוח ב':</w:t>
            </w:r>
            <w:r w:rsidR="00C41676" w:rsidRPr="00EF60AD">
              <w:rPr>
                <w:rFonts w:ascii="David" w:hAnsi="David" w:cs="David"/>
                <w:szCs w:val="24"/>
                <w:rtl/>
                <w:lang w:eastAsia="en-US"/>
              </w:rPr>
              <w:t xml:space="preserve"> </w:t>
            </w:r>
            <w:r w:rsidRPr="00EF60AD">
              <w:rPr>
                <w:rFonts w:ascii="David" w:hAnsi="David" w:cs="David"/>
                <w:szCs w:val="24"/>
                <w:rtl/>
                <w:lang w:eastAsia="en-US"/>
              </w:rPr>
              <w:t xml:space="preserve">מצד אחד נרשם כי בסל המידענות נדרש לעמוד באחד התנאים המפורטים, מצד שני נרשם שיש לעמוד בשני התנאים יחד, נודה להבהרתכם האם מספיק להראות עמידה באחד מהתנאים </w:t>
            </w:r>
            <w:r w:rsidRPr="00EF60AD">
              <w:rPr>
                <w:rFonts w:ascii="David" w:hAnsi="David" w:cs="David"/>
                <w:szCs w:val="24"/>
                <w:rtl/>
                <w:lang w:eastAsia="en-US"/>
              </w:rPr>
              <w:lastRenderedPageBreak/>
              <w:t>המצוינים ב 7.1.2.1 ו 7.1.2.2 או שנדרש להראות עמידה בשני התנאים המצוינים.</w:t>
            </w:r>
          </w:p>
        </w:tc>
        <w:tc>
          <w:tcPr>
            <w:tcW w:w="2037" w:type="dxa"/>
            <w:noWrap/>
            <w:hideMark/>
          </w:tcPr>
          <w:p w14:paraId="03C625A3"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lastRenderedPageBreak/>
              <w:t>נדרש לעמוד בשני התנאים. מסמכי המכרז יתוקנו.</w:t>
            </w:r>
          </w:p>
        </w:tc>
      </w:tr>
      <w:tr w:rsidR="00D65EC0" w:rsidRPr="00EF60AD" w14:paraId="48FD2828" w14:textId="77777777" w:rsidTr="003B2F06">
        <w:trPr>
          <w:trHeight w:val="1320"/>
        </w:trPr>
        <w:tc>
          <w:tcPr>
            <w:tcW w:w="540" w:type="dxa"/>
            <w:noWrap/>
            <w:vAlign w:val="center"/>
            <w:hideMark/>
          </w:tcPr>
          <w:p w14:paraId="56DA72DE" w14:textId="303069DE"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13</w:t>
            </w:r>
          </w:p>
        </w:tc>
        <w:tc>
          <w:tcPr>
            <w:tcW w:w="565" w:type="dxa"/>
            <w:noWrap/>
            <w:vAlign w:val="center"/>
            <w:hideMark/>
          </w:tcPr>
          <w:p w14:paraId="1575868B"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13</w:t>
            </w:r>
          </w:p>
        </w:tc>
        <w:tc>
          <w:tcPr>
            <w:tcW w:w="1183" w:type="dxa"/>
            <w:noWrap/>
            <w:vAlign w:val="center"/>
            <w:hideMark/>
          </w:tcPr>
          <w:p w14:paraId="58B73871"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7.2.3</w:t>
            </w:r>
          </w:p>
        </w:tc>
        <w:tc>
          <w:tcPr>
            <w:tcW w:w="4901" w:type="dxa"/>
            <w:hideMark/>
          </w:tcPr>
          <w:p w14:paraId="07FD3ED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יש טעות מספור בסעיפים:</w:t>
            </w:r>
            <w:r w:rsidRPr="00EF60AD">
              <w:rPr>
                <w:rFonts w:ascii="David" w:hAnsi="David" w:cs="David"/>
                <w:szCs w:val="24"/>
                <w:rtl/>
                <w:lang w:eastAsia="en-US"/>
              </w:rPr>
              <w:br/>
              <w:t xml:space="preserve">• 7.1.2.1 צריך להיות 7.2.3.1 </w:t>
            </w:r>
            <w:r w:rsidRPr="00EF60AD">
              <w:rPr>
                <w:rFonts w:ascii="David" w:hAnsi="David" w:cs="David"/>
                <w:szCs w:val="24"/>
                <w:rtl/>
                <w:lang w:eastAsia="en-US"/>
              </w:rPr>
              <w:br/>
              <w:t>• 7.1.2.2 צריך להיות 7.2.3.2</w:t>
            </w:r>
          </w:p>
        </w:tc>
        <w:tc>
          <w:tcPr>
            <w:tcW w:w="2037" w:type="dxa"/>
            <w:noWrap/>
            <w:hideMark/>
          </w:tcPr>
          <w:p w14:paraId="196168C6"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נכון. מסמכי המכרז יתוקנו.</w:t>
            </w:r>
          </w:p>
        </w:tc>
      </w:tr>
      <w:tr w:rsidR="00D65EC0" w:rsidRPr="00EF60AD" w14:paraId="2467E2F3" w14:textId="77777777" w:rsidTr="003B2F06">
        <w:trPr>
          <w:trHeight w:val="660"/>
        </w:trPr>
        <w:tc>
          <w:tcPr>
            <w:tcW w:w="540" w:type="dxa"/>
            <w:noWrap/>
            <w:vAlign w:val="center"/>
            <w:hideMark/>
          </w:tcPr>
          <w:p w14:paraId="32FA5129" w14:textId="3DD34478"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14</w:t>
            </w:r>
          </w:p>
        </w:tc>
        <w:tc>
          <w:tcPr>
            <w:tcW w:w="565" w:type="dxa"/>
            <w:noWrap/>
            <w:vAlign w:val="center"/>
            <w:hideMark/>
          </w:tcPr>
          <w:p w14:paraId="48086870"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14</w:t>
            </w:r>
          </w:p>
        </w:tc>
        <w:tc>
          <w:tcPr>
            <w:tcW w:w="1183" w:type="dxa"/>
            <w:vAlign w:val="center"/>
            <w:hideMark/>
          </w:tcPr>
          <w:p w14:paraId="059B62AA"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8</w:t>
            </w:r>
          </w:p>
        </w:tc>
        <w:tc>
          <w:tcPr>
            <w:tcW w:w="4901" w:type="dxa"/>
            <w:hideMark/>
          </w:tcPr>
          <w:p w14:paraId="3524BC4C" w14:textId="71D68D00"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האם ניתן להגיש הצעה בשיתוף פעולה בין שתי חברות תוך כדי שאחת מהן תיקח אחריות של קבלן ראשי </w:t>
            </w:r>
            <w:r w:rsidR="00C41676" w:rsidRPr="00EF60AD">
              <w:rPr>
                <w:rFonts w:ascii="David" w:hAnsi="David" w:cs="David"/>
                <w:szCs w:val="24"/>
                <w:rtl/>
                <w:lang w:eastAsia="en-US"/>
              </w:rPr>
              <w:t>והשנייה</w:t>
            </w:r>
            <w:r w:rsidRPr="00EF60AD">
              <w:rPr>
                <w:rFonts w:ascii="David" w:hAnsi="David" w:cs="David"/>
                <w:szCs w:val="24"/>
                <w:rtl/>
                <w:lang w:eastAsia="en-US"/>
              </w:rPr>
              <w:t xml:space="preserve"> תהיה קבלן משנה. האם ניתן לצרף את </w:t>
            </w:r>
            <w:r w:rsidR="00C41676" w:rsidRPr="00EF60AD">
              <w:rPr>
                <w:rFonts w:ascii="David" w:hAnsi="David" w:cs="David"/>
                <w:szCs w:val="24"/>
                <w:rtl/>
                <w:lang w:eastAsia="en-US"/>
              </w:rPr>
              <w:t>הניסיון</w:t>
            </w:r>
            <w:r w:rsidRPr="00EF60AD">
              <w:rPr>
                <w:rFonts w:ascii="David" w:hAnsi="David" w:cs="David"/>
                <w:szCs w:val="24"/>
                <w:rtl/>
                <w:lang w:eastAsia="en-US"/>
              </w:rPr>
              <w:t xml:space="preserve"> של שתי החברות </w:t>
            </w:r>
            <w:r w:rsidR="00C41676" w:rsidRPr="00EF60AD">
              <w:rPr>
                <w:rFonts w:ascii="David" w:hAnsi="David" w:cs="David"/>
                <w:szCs w:val="24"/>
                <w:rtl/>
                <w:lang w:eastAsia="en-US"/>
              </w:rPr>
              <w:t>לניסיון</w:t>
            </w:r>
            <w:r w:rsidRPr="00EF60AD">
              <w:rPr>
                <w:rFonts w:ascii="David" w:hAnsi="David" w:cs="David"/>
                <w:szCs w:val="24"/>
                <w:rtl/>
                <w:lang w:eastAsia="en-US"/>
              </w:rPr>
              <w:t xml:space="preserve"> המוצג במכרז? האם נדרש לספק הסכם שיתוף פעולה לצורך המכרז? </w:t>
            </w:r>
          </w:p>
        </w:tc>
        <w:tc>
          <w:tcPr>
            <w:tcW w:w="2037" w:type="dxa"/>
            <w:noWrap/>
            <w:hideMark/>
          </w:tcPr>
          <w:p w14:paraId="5D586D59"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לא. מציע צריך לעמוד בעצמו בכל תנאי הסף ודרישות האיכות הקבועים במכרז. </w:t>
            </w:r>
          </w:p>
        </w:tc>
      </w:tr>
      <w:tr w:rsidR="00D65EC0" w:rsidRPr="00EF60AD" w14:paraId="052A828D" w14:textId="77777777" w:rsidTr="003B2F06">
        <w:trPr>
          <w:trHeight w:val="990"/>
        </w:trPr>
        <w:tc>
          <w:tcPr>
            <w:tcW w:w="540" w:type="dxa"/>
            <w:noWrap/>
            <w:vAlign w:val="center"/>
            <w:hideMark/>
          </w:tcPr>
          <w:p w14:paraId="407A422B" w14:textId="4ACC446F"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15</w:t>
            </w:r>
          </w:p>
        </w:tc>
        <w:tc>
          <w:tcPr>
            <w:tcW w:w="565" w:type="dxa"/>
            <w:noWrap/>
            <w:vAlign w:val="center"/>
            <w:hideMark/>
          </w:tcPr>
          <w:p w14:paraId="2D4946CF"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14</w:t>
            </w:r>
          </w:p>
        </w:tc>
        <w:tc>
          <w:tcPr>
            <w:tcW w:w="1183" w:type="dxa"/>
            <w:noWrap/>
            <w:vAlign w:val="center"/>
            <w:hideMark/>
          </w:tcPr>
          <w:p w14:paraId="6F2E4F35"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9</w:t>
            </w:r>
          </w:p>
        </w:tc>
        <w:tc>
          <w:tcPr>
            <w:tcW w:w="4901" w:type="dxa"/>
            <w:hideMark/>
          </w:tcPr>
          <w:p w14:paraId="5EA1A68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האם הכוונה במשפט " </w:t>
            </w:r>
            <w:r w:rsidRPr="00EF60AD">
              <w:rPr>
                <w:rFonts w:ascii="David" w:hAnsi="David" w:cs="David"/>
                <w:i/>
                <w:iCs/>
                <w:szCs w:val="24"/>
                <w:rtl/>
                <w:lang w:eastAsia="en-US"/>
              </w:rPr>
              <w:t xml:space="preserve">פירוט היקף הניסיון של החברה ופרוט הפרויקטים שבוצעו על ידה ועל ידי בין שלושה לחמישה אנשי הצוות המוצע בהתאם לדרישות המפורטות בטבלה בסעיף </w:t>
            </w:r>
            <w:r w:rsidRPr="00EF60AD">
              <w:rPr>
                <w:rFonts w:ascii="David" w:hAnsi="David" w:cs="David"/>
                <w:szCs w:val="24"/>
                <w:rtl/>
                <w:lang w:eastAsia="en-US"/>
              </w:rPr>
              <w:t>12" משמעותו שעל מנת להציג פרויקט, חובה שאחד או יותר מחברי הצוות המוצעים ביצעו אותו בפועל? או שלא חייב להיות קשר בין הדברים? בפרט, האם בכל פרויקט יש להראות שלושה אנשי צוות לפחות שהיו מעורבים בפרויקט?</w:t>
            </w:r>
          </w:p>
        </w:tc>
        <w:tc>
          <w:tcPr>
            <w:tcW w:w="2037" w:type="dxa"/>
            <w:noWrap/>
            <w:hideMark/>
          </w:tcPr>
          <w:p w14:paraId="7A7F6AA0"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במסגרת המסמכים אותם נדרש המציע להגיש, כאמור בסעיף 9, יש להגיש גם פרויקטים של המציע וגם של אנשי הצוות המוצעים. יובהר כי ניקוד האיכות, כאמור בסעיף 11, נבדק עבור המציע בלבד. לתקן בסעיף 9(א) לתקן מסעיף 12 לסעיף 11</w:t>
            </w:r>
          </w:p>
        </w:tc>
      </w:tr>
      <w:tr w:rsidR="00D65EC0" w:rsidRPr="00EF60AD" w14:paraId="32283F15" w14:textId="77777777" w:rsidTr="003B2F06">
        <w:trPr>
          <w:trHeight w:val="330"/>
        </w:trPr>
        <w:tc>
          <w:tcPr>
            <w:tcW w:w="540" w:type="dxa"/>
            <w:noWrap/>
            <w:vAlign w:val="center"/>
            <w:hideMark/>
          </w:tcPr>
          <w:p w14:paraId="4ADF099A" w14:textId="194252E2"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16</w:t>
            </w:r>
          </w:p>
        </w:tc>
        <w:tc>
          <w:tcPr>
            <w:tcW w:w="565" w:type="dxa"/>
            <w:noWrap/>
            <w:vAlign w:val="center"/>
            <w:hideMark/>
          </w:tcPr>
          <w:p w14:paraId="6980437E"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14</w:t>
            </w:r>
          </w:p>
        </w:tc>
        <w:tc>
          <w:tcPr>
            <w:tcW w:w="1183" w:type="dxa"/>
            <w:noWrap/>
            <w:vAlign w:val="center"/>
            <w:hideMark/>
          </w:tcPr>
          <w:p w14:paraId="78AA1DD9"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9</w:t>
            </w:r>
          </w:p>
        </w:tc>
        <w:tc>
          <w:tcPr>
            <w:tcW w:w="4901" w:type="dxa"/>
            <w:hideMark/>
          </w:tcPr>
          <w:p w14:paraId="31480F4F"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במידה וניגשים רק לסלים 1-3 ללא ייעוץ שעתי , האם נידרש , בשלב ההגשה למכרז, להגיש הצעת מחיר? ואם כן באיזה פורמט?</w:t>
            </w:r>
          </w:p>
        </w:tc>
        <w:tc>
          <w:tcPr>
            <w:tcW w:w="2037" w:type="dxa"/>
            <w:noWrap/>
            <w:hideMark/>
          </w:tcPr>
          <w:p w14:paraId="34801EBE"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לא ניתן לגשת רק לסלים 1-3 ללא ייעוץ שעתי</w:t>
            </w:r>
          </w:p>
        </w:tc>
      </w:tr>
      <w:tr w:rsidR="00D65EC0" w:rsidRPr="00EF60AD" w14:paraId="4E7F72A6" w14:textId="77777777" w:rsidTr="003B2F06">
        <w:trPr>
          <w:trHeight w:val="330"/>
        </w:trPr>
        <w:tc>
          <w:tcPr>
            <w:tcW w:w="540" w:type="dxa"/>
            <w:noWrap/>
            <w:vAlign w:val="center"/>
            <w:hideMark/>
          </w:tcPr>
          <w:p w14:paraId="4D08DD39" w14:textId="5DC89317"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17</w:t>
            </w:r>
          </w:p>
        </w:tc>
        <w:tc>
          <w:tcPr>
            <w:tcW w:w="565" w:type="dxa"/>
            <w:noWrap/>
            <w:vAlign w:val="center"/>
            <w:hideMark/>
          </w:tcPr>
          <w:p w14:paraId="681BB051"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14</w:t>
            </w:r>
          </w:p>
        </w:tc>
        <w:tc>
          <w:tcPr>
            <w:tcW w:w="1183" w:type="dxa"/>
            <w:noWrap/>
            <w:vAlign w:val="center"/>
            <w:hideMark/>
          </w:tcPr>
          <w:p w14:paraId="094800C0"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9</w:t>
            </w:r>
          </w:p>
        </w:tc>
        <w:tc>
          <w:tcPr>
            <w:tcW w:w="4901" w:type="dxa"/>
            <w:hideMark/>
          </w:tcPr>
          <w:p w14:paraId="2A5179C0"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באיזה פורמט נדרש להעביר פירוט של אנשי הצוות?</w:t>
            </w:r>
          </w:p>
        </w:tc>
        <w:tc>
          <w:tcPr>
            <w:tcW w:w="2037" w:type="dxa"/>
            <w:noWrap/>
            <w:hideMark/>
          </w:tcPr>
          <w:p w14:paraId="12B896D7" w14:textId="29DC2C8D"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יש להגיש קורות חיים של כל אחד מחברי הצוות ורשימה של </w:t>
            </w:r>
            <w:r w:rsidR="00C41676" w:rsidRPr="00EF60AD">
              <w:rPr>
                <w:rFonts w:ascii="David" w:hAnsi="David" w:cs="David"/>
                <w:color w:val="000000"/>
                <w:szCs w:val="24"/>
                <w:rtl/>
                <w:lang w:eastAsia="en-US"/>
              </w:rPr>
              <w:t>פרויקטים</w:t>
            </w:r>
            <w:r w:rsidRPr="00EF60AD">
              <w:rPr>
                <w:rFonts w:ascii="David" w:hAnsi="David" w:cs="David"/>
                <w:color w:val="000000"/>
                <w:szCs w:val="24"/>
                <w:rtl/>
                <w:lang w:eastAsia="en-US"/>
              </w:rPr>
              <w:t xml:space="preserve"> </w:t>
            </w:r>
            <w:r w:rsidR="00C41676" w:rsidRPr="00EF60AD">
              <w:rPr>
                <w:rFonts w:ascii="David" w:hAnsi="David" w:cs="David"/>
                <w:color w:val="000000"/>
                <w:szCs w:val="24"/>
                <w:rtl/>
                <w:lang w:eastAsia="en-US"/>
              </w:rPr>
              <w:t>רלוונטיים</w:t>
            </w:r>
            <w:r w:rsidRPr="00EF60AD">
              <w:rPr>
                <w:rFonts w:ascii="David" w:hAnsi="David" w:cs="David"/>
                <w:color w:val="000000"/>
                <w:szCs w:val="24"/>
                <w:rtl/>
                <w:lang w:eastAsia="en-US"/>
              </w:rPr>
              <w:t xml:space="preserve"> להם הוא היה שותף</w:t>
            </w:r>
          </w:p>
        </w:tc>
      </w:tr>
      <w:tr w:rsidR="00D65EC0" w:rsidRPr="00EF60AD" w14:paraId="1F453A7D" w14:textId="77777777" w:rsidTr="003B2F06">
        <w:trPr>
          <w:trHeight w:val="330"/>
        </w:trPr>
        <w:tc>
          <w:tcPr>
            <w:tcW w:w="540" w:type="dxa"/>
            <w:noWrap/>
            <w:vAlign w:val="center"/>
            <w:hideMark/>
          </w:tcPr>
          <w:p w14:paraId="0A5E1B28" w14:textId="44355E3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18</w:t>
            </w:r>
          </w:p>
        </w:tc>
        <w:tc>
          <w:tcPr>
            <w:tcW w:w="565" w:type="dxa"/>
            <w:noWrap/>
            <w:vAlign w:val="center"/>
            <w:hideMark/>
          </w:tcPr>
          <w:p w14:paraId="574480A2"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14</w:t>
            </w:r>
          </w:p>
        </w:tc>
        <w:tc>
          <w:tcPr>
            <w:tcW w:w="1183" w:type="dxa"/>
            <w:noWrap/>
            <w:vAlign w:val="center"/>
            <w:hideMark/>
          </w:tcPr>
          <w:p w14:paraId="7A079C0B"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9</w:t>
            </w:r>
          </w:p>
        </w:tc>
        <w:tc>
          <w:tcPr>
            <w:tcW w:w="4901" w:type="dxa"/>
            <w:hideMark/>
          </w:tcPr>
          <w:p w14:paraId="10FA3FFE"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להוסיף כי לא ניתן להסב ערבות זו</w:t>
            </w:r>
          </w:p>
        </w:tc>
        <w:tc>
          <w:tcPr>
            <w:tcW w:w="2037" w:type="dxa"/>
            <w:noWrap/>
            <w:hideMark/>
          </w:tcPr>
          <w:p w14:paraId="6B75BF9F"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248AE989" w14:textId="77777777" w:rsidTr="003B2F06">
        <w:trPr>
          <w:trHeight w:val="1980"/>
        </w:trPr>
        <w:tc>
          <w:tcPr>
            <w:tcW w:w="540" w:type="dxa"/>
            <w:noWrap/>
            <w:vAlign w:val="center"/>
            <w:hideMark/>
          </w:tcPr>
          <w:p w14:paraId="0F1E285E" w14:textId="06B20464"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19</w:t>
            </w:r>
          </w:p>
        </w:tc>
        <w:tc>
          <w:tcPr>
            <w:tcW w:w="565" w:type="dxa"/>
            <w:vAlign w:val="center"/>
            <w:hideMark/>
          </w:tcPr>
          <w:p w14:paraId="12FF481D"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14</w:t>
            </w:r>
          </w:p>
        </w:tc>
        <w:tc>
          <w:tcPr>
            <w:tcW w:w="1183" w:type="dxa"/>
            <w:vAlign w:val="center"/>
            <w:hideMark/>
          </w:tcPr>
          <w:p w14:paraId="667E4039"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9א'</w:t>
            </w:r>
          </w:p>
        </w:tc>
        <w:tc>
          <w:tcPr>
            <w:tcW w:w="4901" w:type="dxa"/>
            <w:hideMark/>
          </w:tcPr>
          <w:p w14:paraId="1472B3AF"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קיים פער בין  9א' המבקש הגדרה של 3-5 אנשי צוות לבין יריעת התחומים וסוגי הפרויקטים המאוד רחבה הנדרשת לצורך ביצוע הסכם מסגרת זה (המתבטאת בהצגת הניסיון המבוקש) ואל מול סעיף 12 המתאר, באופן טבעי, הרכבת צוותים פר משימה במהלך תקופת ההתקשרות (כנהוג בכלל מכרזי המסגרת בתחום הייעוץ שמפעילה המדינה). לאור פער זה, אנא חדדו מהם המאפיינים הנדרשים מצד 3-5 אנשים הצוות ב 9א', או שמא מדובר בטעות סופר ואין הגבלה על כמות אנשי צוות ספציפית? </w:t>
            </w:r>
            <w:r w:rsidRPr="00EF60AD">
              <w:rPr>
                <w:rFonts w:ascii="David" w:hAnsi="David" w:cs="David"/>
                <w:szCs w:val="24"/>
                <w:rtl/>
                <w:lang w:eastAsia="en-US"/>
              </w:rPr>
              <w:br/>
              <w:t xml:space="preserve">ובכל מקרה, ללא קשר להבהרתכם לגבי מספר אנשי הצוות, אנא אישורכם שניתן להציג מומחי תוכן ויועצים בכירים נוספים, לצד הרכב הצוות שיוגדר, לאור המגוון הגדול מאוד של סוגי הייעוץ ועולמות התוכן הנדרשים, והאם הדבר יקבל ביטוי בהתרשמות בניקוד בשלב </w:t>
            </w:r>
            <w:proofErr w:type="spellStart"/>
            <w:r w:rsidRPr="00EF60AD">
              <w:rPr>
                <w:rFonts w:ascii="David" w:hAnsi="David" w:cs="David"/>
                <w:szCs w:val="24"/>
                <w:rtl/>
                <w:lang w:eastAsia="en-US"/>
              </w:rPr>
              <w:t>הראיון</w:t>
            </w:r>
            <w:proofErr w:type="spellEnd"/>
            <w:r w:rsidRPr="00EF60AD">
              <w:rPr>
                <w:rFonts w:ascii="David" w:hAnsi="David" w:cs="David"/>
                <w:szCs w:val="24"/>
                <w:rtl/>
                <w:lang w:eastAsia="en-US"/>
              </w:rPr>
              <w:t>?</w:t>
            </w:r>
          </w:p>
        </w:tc>
        <w:tc>
          <w:tcPr>
            <w:tcW w:w="2037" w:type="dxa"/>
            <w:noWrap/>
            <w:hideMark/>
          </w:tcPr>
          <w:p w14:paraId="0F640669" w14:textId="5A933446"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אנשי הצוות נדרשים להיות היועצים של החברה אשר צפויים להוביל את העבודה במרבית </w:t>
            </w:r>
            <w:r w:rsidR="00C41676" w:rsidRPr="00EF60AD">
              <w:rPr>
                <w:rFonts w:ascii="David" w:hAnsi="David" w:cs="David"/>
                <w:color w:val="000000"/>
                <w:szCs w:val="24"/>
                <w:rtl/>
                <w:lang w:eastAsia="en-US"/>
              </w:rPr>
              <w:t>הפרויקטים</w:t>
            </w:r>
            <w:r w:rsidRPr="00EF60AD">
              <w:rPr>
                <w:rFonts w:ascii="David" w:hAnsi="David" w:cs="David"/>
                <w:color w:val="000000"/>
                <w:szCs w:val="24"/>
                <w:rtl/>
                <w:lang w:eastAsia="en-US"/>
              </w:rPr>
              <w:t xml:space="preserve"> אף אם לא בכולם.</w:t>
            </w:r>
          </w:p>
          <w:p w14:paraId="0B56A8B7"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ניתן להציג מומחי תוכן ויועצים בכירים נוספים, ויינתן לזה ביטוי בראיון בקריטריון השליטה בחומר המקצועי ככל שיהיה רלוונטי.</w:t>
            </w:r>
          </w:p>
          <w:p w14:paraId="16931B4C" w14:textId="77777777" w:rsidR="00D65EC0" w:rsidRPr="00EF60AD" w:rsidRDefault="00D65EC0" w:rsidP="00EF60AD">
            <w:pPr>
              <w:spacing w:line="360" w:lineRule="auto"/>
              <w:rPr>
                <w:rFonts w:ascii="David" w:hAnsi="David" w:cs="David"/>
                <w:color w:val="000000"/>
                <w:szCs w:val="24"/>
                <w:rtl/>
                <w:lang w:eastAsia="en-US"/>
              </w:rPr>
            </w:pPr>
          </w:p>
        </w:tc>
      </w:tr>
      <w:tr w:rsidR="00D65EC0" w:rsidRPr="00EF60AD" w14:paraId="7C4D5281" w14:textId="77777777" w:rsidTr="003B2F06">
        <w:trPr>
          <w:trHeight w:val="990"/>
        </w:trPr>
        <w:tc>
          <w:tcPr>
            <w:tcW w:w="540" w:type="dxa"/>
            <w:noWrap/>
            <w:vAlign w:val="center"/>
            <w:hideMark/>
          </w:tcPr>
          <w:p w14:paraId="002DE5B8" w14:textId="3D600B5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20</w:t>
            </w:r>
          </w:p>
        </w:tc>
        <w:tc>
          <w:tcPr>
            <w:tcW w:w="565" w:type="dxa"/>
            <w:vAlign w:val="center"/>
            <w:hideMark/>
          </w:tcPr>
          <w:p w14:paraId="7BD2791D"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14</w:t>
            </w:r>
          </w:p>
        </w:tc>
        <w:tc>
          <w:tcPr>
            <w:tcW w:w="1183" w:type="dxa"/>
            <w:vAlign w:val="center"/>
            <w:hideMark/>
          </w:tcPr>
          <w:p w14:paraId="547D535C"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9א'</w:t>
            </w:r>
          </w:p>
        </w:tc>
        <w:tc>
          <w:tcPr>
            <w:tcW w:w="4901" w:type="dxa"/>
            <w:hideMark/>
          </w:tcPr>
          <w:p w14:paraId="66F3C204"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אנו מניחים שכוונתכם ב 11.2 בדבר טבלאות הניסיון של המציע, היא לתיאור ניסיון הפירמה/החברה. על כן, אנו מבינים את  9א', הנוגע ל"פירוט היקף הניסיון החברה ופירוט הפרויקטים שבוצעו על ידה ועל ידי בין שלושה לחמישה אנשי צוות מוצע" כפירוט ניסיון ספציפי של חברי הצוות המוצעים, לצד הניסיון של הפירמה. משמע, כולל את האיחוד בין שני סוגי הניסיון (הפירמה ואנשי צוות) ולא חיתוך. למען הסר ספק, אנא אישורכם.</w:t>
            </w:r>
          </w:p>
        </w:tc>
        <w:tc>
          <w:tcPr>
            <w:tcW w:w="2037" w:type="dxa"/>
            <w:noWrap/>
            <w:hideMark/>
          </w:tcPr>
          <w:p w14:paraId="30670C3D"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אכן, יש להציג את הניסיון של הפירמה ואת הניסיון של חברי הצוות בנפרד.</w:t>
            </w:r>
          </w:p>
        </w:tc>
      </w:tr>
      <w:tr w:rsidR="00D65EC0" w:rsidRPr="00EF60AD" w14:paraId="63A77189" w14:textId="77777777" w:rsidTr="003B2F06">
        <w:trPr>
          <w:trHeight w:val="660"/>
        </w:trPr>
        <w:tc>
          <w:tcPr>
            <w:tcW w:w="540" w:type="dxa"/>
            <w:noWrap/>
            <w:vAlign w:val="center"/>
            <w:hideMark/>
          </w:tcPr>
          <w:p w14:paraId="3D63109B" w14:textId="73C82AD3"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21</w:t>
            </w:r>
          </w:p>
        </w:tc>
        <w:tc>
          <w:tcPr>
            <w:tcW w:w="565" w:type="dxa"/>
            <w:vAlign w:val="center"/>
            <w:hideMark/>
          </w:tcPr>
          <w:p w14:paraId="1C80D9F6"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14</w:t>
            </w:r>
          </w:p>
        </w:tc>
        <w:tc>
          <w:tcPr>
            <w:tcW w:w="1183" w:type="dxa"/>
            <w:vAlign w:val="center"/>
            <w:hideMark/>
          </w:tcPr>
          <w:p w14:paraId="16366911"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9א'</w:t>
            </w:r>
          </w:p>
        </w:tc>
        <w:tc>
          <w:tcPr>
            <w:tcW w:w="4901" w:type="dxa"/>
            <w:hideMark/>
          </w:tcPr>
          <w:p w14:paraId="40697B94"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האם מעבר להגעה לראיון, יש צורך להציג את קורות החיים וניסיון חברי הצוות המוצעים במסגרת המענה הכתוב בשלב זה או שהצגתם בראיון מספיקה? </w:t>
            </w:r>
          </w:p>
        </w:tc>
        <w:tc>
          <w:tcPr>
            <w:tcW w:w="2037" w:type="dxa"/>
            <w:noWrap/>
            <w:hideMark/>
          </w:tcPr>
          <w:p w14:paraId="29B6C4C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נדרש להציג קורות חיים וניסיון רלוונטי של חברי הצוות בעת המענה הכתוב. מסמכי המכרז יתוקנו. </w:t>
            </w:r>
          </w:p>
        </w:tc>
      </w:tr>
      <w:tr w:rsidR="00D65EC0" w:rsidRPr="00EF60AD" w14:paraId="3359A797" w14:textId="77777777" w:rsidTr="003B2F06">
        <w:trPr>
          <w:trHeight w:val="330"/>
        </w:trPr>
        <w:tc>
          <w:tcPr>
            <w:tcW w:w="540" w:type="dxa"/>
            <w:noWrap/>
            <w:vAlign w:val="center"/>
            <w:hideMark/>
          </w:tcPr>
          <w:p w14:paraId="29BB88E9" w14:textId="1CD45C66"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22</w:t>
            </w:r>
          </w:p>
        </w:tc>
        <w:tc>
          <w:tcPr>
            <w:tcW w:w="565" w:type="dxa"/>
            <w:noWrap/>
            <w:vAlign w:val="center"/>
            <w:hideMark/>
          </w:tcPr>
          <w:p w14:paraId="1A801AF4"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14</w:t>
            </w:r>
          </w:p>
        </w:tc>
        <w:tc>
          <w:tcPr>
            <w:tcW w:w="1183" w:type="dxa"/>
            <w:noWrap/>
            <w:vAlign w:val="center"/>
            <w:hideMark/>
          </w:tcPr>
          <w:p w14:paraId="3F96C0FB"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9ו'</w:t>
            </w:r>
          </w:p>
        </w:tc>
        <w:tc>
          <w:tcPr>
            <w:tcW w:w="4901" w:type="dxa"/>
            <w:hideMark/>
          </w:tcPr>
          <w:p w14:paraId="15763BD2"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מבוקש לתקן. סעיף 15 (המפורט בהפניה בסעיף זה, ובעניין ערבות ההצעה במכרז), אינו מפרט דבר בעניין ערבות ההצעה.</w:t>
            </w:r>
          </w:p>
        </w:tc>
        <w:tc>
          <w:tcPr>
            <w:tcW w:w="2037" w:type="dxa"/>
            <w:noWrap/>
            <w:hideMark/>
          </w:tcPr>
          <w:p w14:paraId="73E1AA92"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הכוונה לסעיף 14. מסמכי המכרז יתוקנו.</w:t>
            </w:r>
          </w:p>
        </w:tc>
      </w:tr>
      <w:tr w:rsidR="00D65EC0" w:rsidRPr="00EF60AD" w14:paraId="668633A0" w14:textId="77777777" w:rsidTr="003B2F06">
        <w:trPr>
          <w:trHeight w:val="660"/>
        </w:trPr>
        <w:tc>
          <w:tcPr>
            <w:tcW w:w="540" w:type="dxa"/>
            <w:noWrap/>
            <w:vAlign w:val="center"/>
            <w:hideMark/>
          </w:tcPr>
          <w:p w14:paraId="117F0BC6" w14:textId="2A6A5A6F"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23</w:t>
            </w:r>
          </w:p>
        </w:tc>
        <w:tc>
          <w:tcPr>
            <w:tcW w:w="565" w:type="dxa"/>
            <w:vAlign w:val="center"/>
            <w:hideMark/>
          </w:tcPr>
          <w:p w14:paraId="51F35C15"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15</w:t>
            </w:r>
          </w:p>
        </w:tc>
        <w:tc>
          <w:tcPr>
            <w:tcW w:w="1183" w:type="dxa"/>
            <w:vAlign w:val="center"/>
            <w:hideMark/>
          </w:tcPr>
          <w:p w14:paraId="00207177"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10א'</w:t>
            </w:r>
          </w:p>
        </w:tc>
        <w:tc>
          <w:tcPr>
            <w:tcW w:w="4901" w:type="dxa"/>
            <w:hideMark/>
          </w:tcPr>
          <w:p w14:paraId="77ADA1EB"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קיימת סתירה בין האמור ב לבין נספח ג' לגבי פרק הזמן של אי הימצאות בניגוד עניינים (ששה חודשים לעומת שלושה חודשים בנספח). מבוקש לאמץ את הנוסח המופיע בנספח ג'.</w:t>
            </w:r>
          </w:p>
        </w:tc>
        <w:tc>
          <w:tcPr>
            <w:tcW w:w="2037" w:type="dxa"/>
            <w:noWrap/>
            <w:hideMark/>
          </w:tcPr>
          <w:p w14:paraId="5B299D59"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משך הזמן הוא 6 חודשים. מסמכי המכרז יתוקנו.</w:t>
            </w:r>
          </w:p>
        </w:tc>
      </w:tr>
      <w:tr w:rsidR="00D65EC0" w:rsidRPr="00EF60AD" w14:paraId="6D41B1FB" w14:textId="77777777" w:rsidTr="003B2F06">
        <w:trPr>
          <w:trHeight w:val="990"/>
        </w:trPr>
        <w:tc>
          <w:tcPr>
            <w:tcW w:w="540" w:type="dxa"/>
            <w:noWrap/>
            <w:vAlign w:val="center"/>
            <w:hideMark/>
          </w:tcPr>
          <w:p w14:paraId="4577683A" w14:textId="49FC1745"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24</w:t>
            </w:r>
          </w:p>
        </w:tc>
        <w:tc>
          <w:tcPr>
            <w:tcW w:w="565" w:type="dxa"/>
            <w:noWrap/>
            <w:vAlign w:val="center"/>
            <w:hideMark/>
          </w:tcPr>
          <w:p w14:paraId="10E65084"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15</w:t>
            </w:r>
          </w:p>
        </w:tc>
        <w:tc>
          <w:tcPr>
            <w:tcW w:w="1183" w:type="dxa"/>
            <w:noWrap/>
            <w:vAlign w:val="center"/>
            <w:hideMark/>
          </w:tcPr>
          <w:p w14:paraId="6EAB8A74" w14:textId="77777777" w:rsidR="00D65EC0" w:rsidRPr="00EF60AD" w:rsidRDefault="00D65EC0" w:rsidP="00EF60AD">
            <w:pPr>
              <w:spacing w:line="360" w:lineRule="auto"/>
              <w:jc w:val="center"/>
              <w:rPr>
                <w:rFonts w:ascii="David" w:hAnsi="David" w:cs="David"/>
                <w:b/>
                <w:bCs/>
                <w:szCs w:val="24"/>
                <w:rtl/>
                <w:lang w:eastAsia="en-US"/>
              </w:rPr>
            </w:pPr>
            <w:r w:rsidRPr="00EF60AD">
              <w:rPr>
                <w:rFonts w:ascii="David" w:hAnsi="David" w:cs="David"/>
                <w:b/>
                <w:bCs/>
                <w:szCs w:val="24"/>
                <w:rtl/>
                <w:lang w:eastAsia="en-US"/>
              </w:rPr>
              <w:t>11.2.2</w:t>
            </w:r>
          </w:p>
        </w:tc>
        <w:tc>
          <w:tcPr>
            <w:tcW w:w="4901" w:type="dxa"/>
            <w:hideMark/>
          </w:tcPr>
          <w:p w14:paraId="45EB6E50"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הניסיון הנבחן מתייחס לעבודות ייעוץ בהיקף של לפחות 188,000 ₪. סכום המינימום משקף עבודות שע"פ תעריפי </w:t>
            </w:r>
            <w:proofErr w:type="spellStart"/>
            <w:r w:rsidRPr="00EF60AD">
              <w:rPr>
                <w:rFonts w:ascii="David" w:hAnsi="David" w:cs="David"/>
                <w:szCs w:val="24"/>
                <w:rtl/>
                <w:lang w:eastAsia="en-US"/>
              </w:rPr>
              <w:t>החשכ"ל</w:t>
            </w:r>
            <w:proofErr w:type="spellEnd"/>
            <w:r w:rsidRPr="00EF60AD">
              <w:rPr>
                <w:rFonts w:ascii="David" w:hAnsi="David" w:cs="David"/>
                <w:szCs w:val="24"/>
                <w:rtl/>
                <w:lang w:eastAsia="en-US"/>
              </w:rPr>
              <w:t xml:space="preserve"> משקפות כ- 900-1,100 שעות עבודה. מניסיוננו, קיימות עבודות רלבנטיות רבות, ברמה גבוהה של ניתוח והעמקה, אשר היקף השעות שהושקע בהן והתמורה בגינן נמוכים מסכום זה. מוצע להקל בתנאי זה ולקבוע סכום המשקף עבודות בהיקף של כ-500 שעות עבודה, קרי, 90,000 ₪.</w:t>
            </w:r>
          </w:p>
        </w:tc>
        <w:tc>
          <w:tcPr>
            <w:tcW w:w="2037" w:type="dxa"/>
            <w:noWrap/>
            <w:hideMark/>
          </w:tcPr>
          <w:p w14:paraId="73F3DBBC" w14:textId="77777777" w:rsidR="00D65EC0" w:rsidRPr="00EF60AD" w:rsidRDefault="00D65EC0" w:rsidP="00EF60AD">
            <w:pPr>
              <w:spacing w:line="360" w:lineRule="auto"/>
              <w:rPr>
                <w:rFonts w:ascii="David" w:hAnsi="David" w:cs="David"/>
                <w:color w:val="000000"/>
                <w:szCs w:val="24"/>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w:t>
            </w:r>
          </w:p>
        </w:tc>
      </w:tr>
      <w:tr w:rsidR="00D65EC0" w:rsidRPr="00EF60AD" w14:paraId="3E101EB9" w14:textId="77777777" w:rsidTr="003B2F06">
        <w:trPr>
          <w:trHeight w:val="2970"/>
        </w:trPr>
        <w:tc>
          <w:tcPr>
            <w:tcW w:w="540" w:type="dxa"/>
            <w:noWrap/>
            <w:vAlign w:val="center"/>
            <w:hideMark/>
          </w:tcPr>
          <w:p w14:paraId="0C55DF9A" w14:textId="41A4E97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25</w:t>
            </w:r>
          </w:p>
        </w:tc>
        <w:tc>
          <w:tcPr>
            <w:tcW w:w="565" w:type="dxa"/>
            <w:noWrap/>
            <w:vAlign w:val="center"/>
            <w:hideMark/>
          </w:tcPr>
          <w:p w14:paraId="556FBC55"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15</w:t>
            </w:r>
          </w:p>
        </w:tc>
        <w:tc>
          <w:tcPr>
            <w:tcW w:w="1183" w:type="dxa"/>
            <w:vAlign w:val="center"/>
            <w:hideMark/>
          </w:tcPr>
          <w:p w14:paraId="3A98FB38"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19EA743B" w14:textId="77777777" w:rsidR="00D65EC0" w:rsidRPr="00EF60AD" w:rsidRDefault="00D65EC0" w:rsidP="00EF60AD">
            <w:pPr>
              <w:spacing w:line="360" w:lineRule="auto"/>
              <w:rPr>
                <w:rFonts w:ascii="David" w:hAnsi="David" w:cs="David"/>
                <w:szCs w:val="24"/>
                <w:rtl/>
                <w:lang w:eastAsia="en-US"/>
              </w:rPr>
            </w:pPr>
            <w:r w:rsidRPr="00EF60AD">
              <w:rPr>
                <w:rFonts w:ascii="David" w:hAnsi="David" w:cs="David"/>
                <w:szCs w:val="24"/>
                <w:rtl/>
                <w:lang w:eastAsia="en-US"/>
              </w:rPr>
              <w:t>1. האם ההיקף הכספי הנדרש הינו של כל פרויקט בנפרד או של כלל הפרויקטים המוצגים יחדיו?</w:t>
            </w:r>
            <w:r w:rsidRPr="00EF60AD">
              <w:rPr>
                <w:rFonts w:ascii="David" w:hAnsi="David" w:cs="David"/>
                <w:szCs w:val="24"/>
                <w:rtl/>
                <w:lang w:eastAsia="en-US"/>
              </w:rPr>
              <w:br/>
              <w:t xml:space="preserve">2. באם תשובת המשרד הינה שכר הבחינה הינה היקף שכ"ט של כל פרויקט בנפרד; משרדנו עושה שלל פרויקטים בהיקפים שונים ובעלי חשיבות והשפעה רבה הן על המשק ככלל והן פרויקטים משמעותיים במגזר הפרטי. בניגוד להשפעתו של הפרויקט, </w:t>
            </w:r>
            <w:proofErr w:type="spellStart"/>
            <w:r w:rsidRPr="00EF60AD">
              <w:rPr>
                <w:rFonts w:ascii="David" w:hAnsi="David" w:cs="David"/>
                <w:szCs w:val="24"/>
                <w:rtl/>
                <w:lang w:eastAsia="en-US"/>
              </w:rPr>
              <w:t>תימחורו</w:t>
            </w:r>
            <w:proofErr w:type="spellEnd"/>
            <w:r w:rsidRPr="00EF60AD">
              <w:rPr>
                <w:rFonts w:ascii="David" w:hAnsi="David" w:cs="David"/>
                <w:szCs w:val="24"/>
                <w:rtl/>
                <w:lang w:eastAsia="en-US"/>
              </w:rPr>
              <w:t xml:space="preserve"> אינו תמיד תואם להיקף השפעתו (לבטח כשמדובר על המגזר השלישי, שם לרוב העבודות נעשות פרו בונו או בעלי הנחה משמעותית). לפיכך נשמח להבהרתכם האם כל אחד מבין שלל הפרויקטים השונים שנדרש להציג יהיה בהיקף כספי של שכ"ט מינימאלי של 500,000 ₪? </w:t>
            </w:r>
            <w:r w:rsidRPr="00EF60AD">
              <w:rPr>
                <w:rFonts w:ascii="David" w:hAnsi="David" w:cs="David"/>
                <w:szCs w:val="24"/>
                <w:rtl/>
                <w:lang w:eastAsia="en-US"/>
              </w:rPr>
              <w:br/>
              <w:t xml:space="preserve">3. נבקש מן המשרד להשוות את התנאים בין בסעיף סל 1 לסעיף סל 2 בכך שהניקוד עבור ההיקף הכספי של הפרויקטים הנבחנים יהיה בשיעור המינימאלי (קרי, 300 אלף שקלים) ולא בשיעור המקסימאלי (קרי, 500 אלף, שקלים). </w:t>
            </w:r>
          </w:p>
        </w:tc>
        <w:tc>
          <w:tcPr>
            <w:tcW w:w="2037" w:type="dxa"/>
            <w:noWrap/>
            <w:hideMark/>
          </w:tcPr>
          <w:p w14:paraId="5279A997" w14:textId="77777777" w:rsidR="00D65EC0" w:rsidRPr="00EF60AD" w:rsidRDefault="00D65EC0" w:rsidP="00EF60AD">
            <w:pPr>
              <w:pStyle w:val="a7"/>
              <w:numPr>
                <w:ilvl w:val="0"/>
                <w:numId w:val="50"/>
              </w:numPr>
              <w:rPr>
                <w:rFonts w:ascii="David" w:hAnsi="David" w:cs="David"/>
                <w:color w:val="000000"/>
                <w:szCs w:val="24"/>
              </w:rPr>
            </w:pPr>
            <w:r w:rsidRPr="00EF60AD">
              <w:rPr>
                <w:rFonts w:ascii="David" w:hAnsi="David" w:cs="David"/>
                <w:color w:val="000000"/>
                <w:szCs w:val="24"/>
                <w:rtl/>
              </w:rPr>
              <w:t>לגבי סל 1 – ההיקף הכספי של כל פרויקט בנפרד נדרש להיות חצי מיליון ש"ח.</w:t>
            </w:r>
          </w:p>
          <w:p w14:paraId="206BDB80" w14:textId="77777777" w:rsidR="00D65EC0" w:rsidRPr="00EF60AD" w:rsidRDefault="00D65EC0" w:rsidP="00EF60AD">
            <w:pPr>
              <w:pStyle w:val="a7"/>
              <w:numPr>
                <w:ilvl w:val="0"/>
                <w:numId w:val="50"/>
              </w:numPr>
              <w:rPr>
                <w:rFonts w:ascii="David" w:hAnsi="David" w:cs="David"/>
                <w:color w:val="000000"/>
                <w:szCs w:val="24"/>
              </w:rPr>
            </w:pPr>
            <w:r w:rsidRPr="00EF60AD">
              <w:rPr>
                <w:rFonts w:ascii="David" w:hAnsi="David" w:cs="David"/>
                <w:color w:val="000000"/>
                <w:szCs w:val="24"/>
                <w:rtl/>
              </w:rPr>
              <w:t xml:space="preserve">בסל 2- ההיקף הנדרש לכל פרויקט הוא 188,000 </w:t>
            </w:r>
            <w:proofErr w:type="spellStart"/>
            <w:r w:rsidRPr="00EF60AD">
              <w:rPr>
                <w:rFonts w:ascii="David" w:hAnsi="David" w:cs="David"/>
                <w:color w:val="000000"/>
                <w:szCs w:val="24"/>
                <w:rtl/>
              </w:rPr>
              <w:t>אש"ח</w:t>
            </w:r>
            <w:proofErr w:type="spellEnd"/>
            <w:r w:rsidRPr="00EF60AD">
              <w:rPr>
                <w:rFonts w:ascii="David" w:hAnsi="David" w:cs="David"/>
                <w:color w:val="000000"/>
                <w:szCs w:val="24"/>
                <w:rtl/>
              </w:rPr>
              <w:t>.</w:t>
            </w:r>
          </w:p>
          <w:p w14:paraId="64D08894" w14:textId="77777777" w:rsidR="00D65EC0" w:rsidRPr="00EF60AD" w:rsidRDefault="00D65EC0" w:rsidP="00EF60AD">
            <w:pPr>
              <w:pStyle w:val="a7"/>
              <w:numPr>
                <w:ilvl w:val="0"/>
                <w:numId w:val="50"/>
              </w:numPr>
              <w:rPr>
                <w:rFonts w:ascii="David" w:hAnsi="David" w:cs="David"/>
                <w:color w:val="000000"/>
                <w:szCs w:val="24"/>
              </w:rPr>
            </w:pPr>
            <w:r w:rsidRPr="00EF60AD">
              <w:rPr>
                <w:rFonts w:ascii="David" w:hAnsi="David" w:cs="David"/>
                <w:color w:val="000000"/>
                <w:szCs w:val="24"/>
                <w:rtl/>
              </w:rPr>
              <w:t>אין שינוי במסמכי המכרז.</w:t>
            </w:r>
          </w:p>
          <w:p w14:paraId="2F146FC2" w14:textId="57230D5C" w:rsidR="00D65EC0" w:rsidRPr="00EF60AD" w:rsidRDefault="00D65EC0" w:rsidP="00EF60AD">
            <w:pPr>
              <w:pStyle w:val="a7"/>
              <w:numPr>
                <w:ilvl w:val="0"/>
                <w:numId w:val="50"/>
              </w:numPr>
              <w:rPr>
                <w:rFonts w:ascii="David" w:hAnsi="David" w:cs="David"/>
                <w:color w:val="000000"/>
                <w:szCs w:val="24"/>
              </w:rPr>
            </w:pPr>
            <w:r w:rsidRPr="00EF60AD">
              <w:rPr>
                <w:rFonts w:ascii="David" w:hAnsi="David" w:cs="David"/>
                <w:color w:val="000000"/>
                <w:szCs w:val="24"/>
                <w:rtl/>
              </w:rPr>
              <w:t xml:space="preserve">באמת המידה המתייחסת לעבודות שבוצעו עבור המגזר השלישי, בכל הסלים, ירד סכום ההיקף הכספי של הפרויקט לסכום של 94 </w:t>
            </w:r>
            <w:proofErr w:type="spellStart"/>
            <w:r w:rsidRPr="00EF60AD">
              <w:rPr>
                <w:rFonts w:ascii="David" w:hAnsi="David" w:cs="David"/>
                <w:color w:val="000000"/>
                <w:szCs w:val="24"/>
                <w:rtl/>
              </w:rPr>
              <w:t>אש"ח</w:t>
            </w:r>
            <w:proofErr w:type="spellEnd"/>
            <w:r w:rsidRPr="00EF60AD">
              <w:rPr>
                <w:rFonts w:ascii="David" w:hAnsi="David" w:cs="David"/>
                <w:color w:val="000000"/>
                <w:szCs w:val="24"/>
                <w:rtl/>
              </w:rPr>
              <w:t xml:space="preserve">. </w:t>
            </w:r>
          </w:p>
        </w:tc>
      </w:tr>
      <w:tr w:rsidR="00D65EC0" w:rsidRPr="00EF60AD" w14:paraId="3DD56B23" w14:textId="77777777" w:rsidTr="003B2F06">
        <w:trPr>
          <w:trHeight w:val="1350"/>
        </w:trPr>
        <w:tc>
          <w:tcPr>
            <w:tcW w:w="540" w:type="dxa"/>
            <w:noWrap/>
            <w:vAlign w:val="center"/>
            <w:hideMark/>
          </w:tcPr>
          <w:p w14:paraId="0B77705C" w14:textId="04A6192E"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26</w:t>
            </w:r>
          </w:p>
        </w:tc>
        <w:tc>
          <w:tcPr>
            <w:tcW w:w="565" w:type="dxa"/>
            <w:noWrap/>
            <w:vAlign w:val="center"/>
            <w:hideMark/>
          </w:tcPr>
          <w:p w14:paraId="001E220A"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15</w:t>
            </w:r>
          </w:p>
        </w:tc>
        <w:tc>
          <w:tcPr>
            <w:tcW w:w="1183" w:type="dxa"/>
            <w:noWrap/>
            <w:vAlign w:val="center"/>
            <w:hideMark/>
          </w:tcPr>
          <w:p w14:paraId="1F0C77FB"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3C63A151" w14:textId="382AD8D9"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לנושא ההיקף הכספי: האם הובלה וניהול של פרויקטים ועבודות בתכולה שמפורטת במסגרת תפקיד משרה בחירה בחברה ו/או ארגון ממשלתי תחשב </w:t>
            </w:r>
            <w:r w:rsidR="00FE45C6" w:rsidRPr="00EF60AD">
              <w:rPr>
                <w:rFonts w:ascii="David" w:hAnsi="David" w:cs="David"/>
                <w:szCs w:val="24"/>
                <w:rtl/>
                <w:lang w:eastAsia="en-US"/>
              </w:rPr>
              <w:t>כניסיון</w:t>
            </w:r>
            <w:r w:rsidRPr="00EF60AD">
              <w:rPr>
                <w:rFonts w:ascii="David" w:hAnsi="David" w:cs="David"/>
                <w:szCs w:val="24"/>
                <w:rtl/>
                <w:lang w:eastAsia="en-US"/>
              </w:rPr>
              <w:t xml:space="preserve"> רלבנטי לסעיף זה? יש להדגיש כי מדובר בפרויקטים אסטרטגיים ומשמעותיים לארגון שבוצעו בהובלת המציע במשאבים פנימיים של </w:t>
            </w:r>
            <w:r w:rsidRPr="00EF60AD">
              <w:rPr>
                <w:rFonts w:ascii="David" w:hAnsi="David" w:cs="David"/>
                <w:szCs w:val="24"/>
                <w:rtl/>
                <w:lang w:eastAsia="en-US"/>
              </w:rPr>
              <w:lastRenderedPageBreak/>
              <w:t>הארגון (</w:t>
            </w:r>
            <w:r w:rsidRPr="00EF60AD">
              <w:rPr>
                <w:rFonts w:ascii="David" w:hAnsi="David" w:cs="David"/>
                <w:szCs w:val="24"/>
                <w:lang w:eastAsia="en-US"/>
              </w:rPr>
              <w:t>IN</w:t>
            </w:r>
            <w:r w:rsidRPr="00EF60AD">
              <w:rPr>
                <w:rFonts w:ascii="David" w:hAnsi="David" w:cs="David"/>
                <w:szCs w:val="24"/>
                <w:rtl/>
                <w:lang w:eastAsia="en-US"/>
              </w:rPr>
              <w:t xml:space="preserve"> </w:t>
            </w:r>
            <w:r w:rsidRPr="00EF60AD">
              <w:rPr>
                <w:rFonts w:ascii="David" w:hAnsi="David" w:cs="David"/>
                <w:szCs w:val="24"/>
                <w:lang w:eastAsia="en-US"/>
              </w:rPr>
              <w:t>HOUSE</w:t>
            </w:r>
            <w:r w:rsidRPr="00EF60AD">
              <w:rPr>
                <w:rFonts w:ascii="David" w:hAnsi="David" w:cs="David"/>
                <w:szCs w:val="24"/>
                <w:rtl/>
                <w:lang w:eastAsia="en-US"/>
              </w:rPr>
              <w:t xml:space="preserve">). במקרה והניסיון הרלבנטי יוכר, כיצד יחושב בניקוד שווי הפרויקט שבוצע. </w:t>
            </w:r>
          </w:p>
        </w:tc>
        <w:tc>
          <w:tcPr>
            <w:tcW w:w="2037" w:type="dxa"/>
            <w:noWrap/>
            <w:hideMark/>
          </w:tcPr>
          <w:p w14:paraId="55306D14" w14:textId="5C93C866"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lastRenderedPageBreak/>
              <w:t> </w:t>
            </w:r>
            <w:r w:rsidR="00FE45C6" w:rsidRPr="00EF60AD">
              <w:rPr>
                <w:rFonts w:ascii="David" w:hAnsi="David" w:cs="David"/>
                <w:color w:val="000000"/>
                <w:szCs w:val="24"/>
                <w:rtl/>
                <w:lang w:eastAsia="en-US"/>
              </w:rPr>
              <w:t>הפרויקטים</w:t>
            </w:r>
            <w:r w:rsidRPr="00EF60AD">
              <w:rPr>
                <w:rFonts w:ascii="David" w:hAnsi="David" w:cs="David"/>
                <w:color w:val="000000"/>
                <w:szCs w:val="24"/>
                <w:rtl/>
                <w:lang w:eastAsia="en-US"/>
              </w:rPr>
              <w:t xml:space="preserve"> הנבחנים לצורך סעיף זה הם </w:t>
            </w:r>
            <w:r w:rsidR="00FE45C6" w:rsidRPr="00EF60AD">
              <w:rPr>
                <w:rFonts w:ascii="David" w:hAnsi="David" w:cs="David"/>
                <w:color w:val="000000"/>
                <w:szCs w:val="24"/>
                <w:rtl/>
                <w:lang w:eastAsia="en-US"/>
              </w:rPr>
              <w:t>פרויקטים</w:t>
            </w:r>
            <w:r w:rsidRPr="00EF60AD">
              <w:rPr>
                <w:rFonts w:ascii="David" w:hAnsi="David" w:cs="David"/>
                <w:color w:val="000000"/>
                <w:szCs w:val="24"/>
                <w:rtl/>
                <w:lang w:eastAsia="en-US"/>
              </w:rPr>
              <w:t xml:space="preserve"> שביצעה החברה המציעה ולא </w:t>
            </w:r>
            <w:r w:rsidR="00FE45C6" w:rsidRPr="00EF60AD">
              <w:rPr>
                <w:rFonts w:ascii="David" w:hAnsi="David" w:cs="David"/>
                <w:color w:val="000000"/>
                <w:szCs w:val="24"/>
                <w:rtl/>
                <w:lang w:eastAsia="en-US"/>
              </w:rPr>
              <w:t>הפרויקטים</w:t>
            </w:r>
            <w:r w:rsidRPr="00EF60AD">
              <w:rPr>
                <w:rFonts w:ascii="David" w:hAnsi="David" w:cs="David"/>
                <w:color w:val="000000"/>
                <w:szCs w:val="24"/>
                <w:rtl/>
                <w:lang w:eastAsia="en-US"/>
              </w:rPr>
              <w:t xml:space="preserve"> שביצעו חברי הצוות, לכן ניסיון של חברי הצוות </w:t>
            </w:r>
            <w:r w:rsidRPr="00EF60AD">
              <w:rPr>
                <w:rFonts w:ascii="David" w:hAnsi="David" w:cs="David"/>
                <w:color w:val="000000"/>
                <w:szCs w:val="24"/>
                <w:rtl/>
                <w:lang w:eastAsia="en-US"/>
              </w:rPr>
              <w:lastRenderedPageBreak/>
              <w:t xml:space="preserve">בהובלת </w:t>
            </w:r>
            <w:r w:rsidR="00FE45C6" w:rsidRPr="00EF60AD">
              <w:rPr>
                <w:rFonts w:ascii="David" w:hAnsi="David" w:cs="David"/>
                <w:color w:val="000000"/>
                <w:szCs w:val="24"/>
                <w:rtl/>
                <w:lang w:eastAsia="en-US"/>
              </w:rPr>
              <w:t>פרויקטים</w:t>
            </w:r>
            <w:r w:rsidRPr="00EF60AD">
              <w:rPr>
                <w:rFonts w:ascii="David" w:hAnsi="David" w:cs="David"/>
                <w:color w:val="000000"/>
                <w:szCs w:val="24"/>
                <w:rtl/>
                <w:lang w:eastAsia="en-US"/>
              </w:rPr>
              <w:t xml:space="preserve"> בתפקידים קודמים אינו רלוונטי.</w:t>
            </w:r>
          </w:p>
        </w:tc>
      </w:tr>
      <w:tr w:rsidR="00D65EC0" w:rsidRPr="00EF60AD" w14:paraId="37DE4E98" w14:textId="77777777" w:rsidTr="003B2F06">
        <w:trPr>
          <w:trHeight w:val="990"/>
        </w:trPr>
        <w:tc>
          <w:tcPr>
            <w:tcW w:w="540" w:type="dxa"/>
            <w:noWrap/>
            <w:vAlign w:val="center"/>
            <w:hideMark/>
          </w:tcPr>
          <w:p w14:paraId="3F7BF382" w14:textId="4A4CFD54"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27</w:t>
            </w:r>
          </w:p>
        </w:tc>
        <w:tc>
          <w:tcPr>
            <w:tcW w:w="565" w:type="dxa"/>
            <w:noWrap/>
            <w:vAlign w:val="center"/>
            <w:hideMark/>
          </w:tcPr>
          <w:p w14:paraId="11399B3F"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6A056B45"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6CF1166C"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ניסיון בייעוץ כלכלי במערכות ציבוריות שאינן ממשלתיות – מוצע לכלול בסעיף זה תאגידים סטטוטוריים עצמאיים (כגון רשות הטבע והגנים, "כאן" תאגיד השידור הישראלי, רשות שדות התעופה וכיו"ב).</w:t>
            </w:r>
          </w:p>
        </w:tc>
        <w:tc>
          <w:tcPr>
            <w:tcW w:w="2037" w:type="dxa"/>
            <w:noWrap/>
            <w:hideMark/>
          </w:tcPr>
          <w:p w14:paraId="77F61DB3"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תאגידים סטטוטוריים שעיקר תפקידם הוא ברגולציה כגון – רשות שוק ההון, ביטוח וחיסכון, בנק ישראל, רשות החשמל ייחשבו כמערכות ממשלתיות בטבלה זו. לעומתן תאגידים סטטוטוריים שעיקרן עיסוקן מתן שירות לציבור כגון – רשות שדות התעופה, רשות הטבע והגנים, הביטוח הלאומי, ייחשבו כמערכות ציבוריות לא ממשלתיות.   </w:t>
            </w:r>
          </w:p>
        </w:tc>
      </w:tr>
      <w:tr w:rsidR="00D65EC0" w:rsidRPr="00EF60AD" w14:paraId="700D0AB1" w14:textId="77777777" w:rsidTr="003B2F06">
        <w:trPr>
          <w:trHeight w:val="1320"/>
        </w:trPr>
        <w:tc>
          <w:tcPr>
            <w:tcW w:w="540" w:type="dxa"/>
            <w:noWrap/>
            <w:vAlign w:val="center"/>
            <w:hideMark/>
          </w:tcPr>
          <w:p w14:paraId="6679ECB7" w14:textId="2CA0ADCC"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28</w:t>
            </w:r>
          </w:p>
        </w:tc>
        <w:tc>
          <w:tcPr>
            <w:tcW w:w="565" w:type="dxa"/>
            <w:noWrap/>
            <w:vAlign w:val="center"/>
            <w:hideMark/>
          </w:tcPr>
          <w:p w14:paraId="6E7B1DF7"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043985BE"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2DCC8AF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i/>
                <w:iCs/>
                <w:szCs w:val="24"/>
                <w:rtl/>
                <w:lang w:eastAsia="en-US"/>
              </w:rPr>
              <w:t>"3.3. ניסיון בייעוץ כלכלי עבור ממשלות זרות"</w:t>
            </w:r>
            <w:r w:rsidRPr="00EF60AD">
              <w:rPr>
                <w:rFonts w:ascii="David" w:hAnsi="David" w:cs="David"/>
                <w:szCs w:val="24"/>
                <w:rtl/>
                <w:lang w:eastAsia="en-US"/>
              </w:rPr>
              <w:t xml:space="preserve"> – נבקש להשמיט סעיף זה או להקטין את משקלו במידה משמעותית. הסעיף מכביד מאוד על חברות שעיקר פעילותן בישראל. כמו כן, ככל שהתנאי לא יושמט, נבקש כי יכללו באמת מידה זו עבודות שבוצעו עבור ארגונים רב לאומיים כגון האו"ם, ארגון ה-</w:t>
            </w:r>
            <w:r w:rsidRPr="00EF60AD">
              <w:rPr>
                <w:rFonts w:ascii="David" w:hAnsi="David" w:cs="David"/>
                <w:szCs w:val="24"/>
                <w:lang w:eastAsia="en-US"/>
              </w:rPr>
              <w:t>OECD</w:t>
            </w:r>
            <w:r w:rsidRPr="00EF60AD">
              <w:rPr>
                <w:rFonts w:ascii="David" w:hAnsi="David" w:cs="David"/>
                <w:szCs w:val="24"/>
                <w:rtl/>
                <w:lang w:eastAsia="en-US"/>
              </w:rPr>
              <w:t>, הבנק העולמי, האיחוד האירופי, ארגון הבריאות העולמי וכיו"ב.  כמו כן, ככל שלא ימותן סכום המינימום הנדרש באופן גורף, נבקש למתן אותו לעניין אמת מידה זו.</w:t>
            </w:r>
          </w:p>
        </w:tc>
        <w:tc>
          <w:tcPr>
            <w:tcW w:w="2037" w:type="dxa"/>
            <w:noWrap/>
            <w:hideMark/>
          </w:tcPr>
          <w:p w14:paraId="1AFCD1E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ניתן להגיש בסעיף זה גם עבודות שבוצעו עבור ארגונים רב-לאומיים כגון האו"ם, </w:t>
            </w:r>
            <w:r w:rsidRPr="00EF60AD">
              <w:rPr>
                <w:rFonts w:ascii="David" w:hAnsi="David" w:cs="David"/>
                <w:color w:val="000000"/>
                <w:szCs w:val="24"/>
                <w:lang w:eastAsia="en-US"/>
              </w:rPr>
              <w:t>OECD</w:t>
            </w:r>
            <w:r w:rsidRPr="00EF60AD">
              <w:rPr>
                <w:rFonts w:ascii="David" w:hAnsi="David" w:cs="David"/>
                <w:color w:val="000000"/>
                <w:szCs w:val="24"/>
                <w:rtl/>
                <w:lang w:eastAsia="en-US"/>
              </w:rPr>
              <w:t xml:space="preserve">, בנק העולמי </w:t>
            </w:r>
            <w:proofErr w:type="spellStart"/>
            <w:r w:rsidRPr="00EF60AD">
              <w:rPr>
                <w:rFonts w:ascii="David" w:hAnsi="David" w:cs="David"/>
                <w:color w:val="000000"/>
                <w:szCs w:val="24"/>
                <w:rtl/>
                <w:lang w:eastAsia="en-US"/>
              </w:rPr>
              <w:t>וכו</w:t>
            </w:r>
            <w:proofErr w:type="spellEnd"/>
            <w:r w:rsidRPr="00EF60AD">
              <w:rPr>
                <w:rFonts w:ascii="David" w:hAnsi="David" w:cs="David"/>
                <w:color w:val="000000"/>
                <w:szCs w:val="24"/>
                <w:rtl/>
                <w:lang w:eastAsia="en-US"/>
              </w:rPr>
              <w:t>'. מסמכי המכרז יתוקנו.</w:t>
            </w:r>
          </w:p>
        </w:tc>
      </w:tr>
      <w:tr w:rsidR="00D65EC0" w:rsidRPr="00EF60AD" w14:paraId="085B458A" w14:textId="77777777" w:rsidTr="003B2F06">
        <w:trPr>
          <w:trHeight w:val="990"/>
        </w:trPr>
        <w:tc>
          <w:tcPr>
            <w:tcW w:w="540" w:type="dxa"/>
            <w:noWrap/>
            <w:vAlign w:val="center"/>
            <w:hideMark/>
          </w:tcPr>
          <w:p w14:paraId="3F601399" w14:textId="277DBE2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29</w:t>
            </w:r>
          </w:p>
        </w:tc>
        <w:tc>
          <w:tcPr>
            <w:tcW w:w="565" w:type="dxa"/>
            <w:noWrap/>
            <w:vAlign w:val="center"/>
            <w:hideMark/>
          </w:tcPr>
          <w:p w14:paraId="63DCB29D"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24BD2FAA"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08DA658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ניסיון בייעוץ כלכלי אשר נעשו במגזר השלישי – מניסיוננו, המגזר השלישי אשר בהגדרתו נשען במידה רבה על כספי פילנתרופיה, בד"כ כפוף למגבלות תקציב קשיחות המונעות ממנו מלרכוש שירותי ייעוץ בסכומים העולים בקנה אחדם עם סכום המינימום שהוגדר. לפיכך, ככל שלא ימותן סכום המינימום </w:t>
            </w:r>
            <w:r w:rsidRPr="00EF60AD">
              <w:rPr>
                <w:rFonts w:ascii="David" w:hAnsi="David" w:cs="David"/>
                <w:szCs w:val="24"/>
                <w:rtl/>
                <w:lang w:eastAsia="en-US"/>
              </w:rPr>
              <w:lastRenderedPageBreak/>
              <w:t>הנדרש באופן גורף, נבקש למתן אותו לעניין אמת מידה זו ולהעמידו על 50,000 ש"ח.</w:t>
            </w:r>
          </w:p>
        </w:tc>
        <w:tc>
          <w:tcPr>
            <w:tcW w:w="2037" w:type="dxa"/>
            <w:noWrap/>
            <w:hideMark/>
          </w:tcPr>
          <w:p w14:paraId="3D768F11"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lastRenderedPageBreak/>
              <w:t> </w:t>
            </w:r>
            <w:r w:rsidRPr="00EF60AD">
              <w:rPr>
                <w:rFonts w:ascii="David" w:hAnsi="David" w:cs="David"/>
                <w:color w:val="000000"/>
                <w:szCs w:val="24"/>
                <w:rtl/>
                <w:lang w:eastAsia="en-US"/>
              </w:rPr>
              <w:t>לעניין סעיף זה סכום המינימום לפרויקט יעמוד על 94,000 ש"ח. מסמכי המכרז יתוקנו.</w:t>
            </w:r>
          </w:p>
        </w:tc>
      </w:tr>
      <w:tr w:rsidR="00D65EC0" w:rsidRPr="00EF60AD" w14:paraId="2312D1A1" w14:textId="77777777" w:rsidTr="003B2F06">
        <w:trPr>
          <w:trHeight w:val="990"/>
        </w:trPr>
        <w:tc>
          <w:tcPr>
            <w:tcW w:w="540" w:type="dxa"/>
            <w:noWrap/>
            <w:vAlign w:val="center"/>
            <w:hideMark/>
          </w:tcPr>
          <w:p w14:paraId="308761C0" w14:textId="71A2F60A"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30</w:t>
            </w:r>
          </w:p>
        </w:tc>
        <w:tc>
          <w:tcPr>
            <w:tcW w:w="565" w:type="dxa"/>
            <w:noWrap/>
            <w:vAlign w:val="center"/>
            <w:hideMark/>
          </w:tcPr>
          <w:p w14:paraId="54BDD971"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124BA3F6"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7ADDDB05"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החברה בה אני שותף תהיה המציע במכרז והיא עומדת בתנאי הסף. כמו כן, יש לי הסכם שיתוף פעולה עם חברת ייעוץ בינלאומית. האם כאשר אני מציג את הפרויקטים בסעיף 11.2.2 אני יכול להוסיף, בנוסף על הפרויקטים שבוצעו על ידי המציג ויוכיחו עמידה בתנאי הסף, גם פרויקטים שבוצעו על ידי החברה הבינלאומית? בהתאמה, כאשר אני מציג את חברי הצוות שלי, האם עלי להציג את חברי הצוות הישראלים ואת חברי הצוות של החברה הבינלאומית? </w:t>
            </w:r>
          </w:p>
        </w:tc>
        <w:tc>
          <w:tcPr>
            <w:tcW w:w="2037" w:type="dxa"/>
            <w:noWrap/>
            <w:hideMark/>
          </w:tcPr>
          <w:p w14:paraId="2C285A09"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ככל שמדובר על הסכם שיתוף פעולה עם חברת ייעוץ נפרדת אין להציג ניסיון או חברי צוות של החברה הנפרדת.</w:t>
            </w:r>
          </w:p>
        </w:tc>
      </w:tr>
      <w:tr w:rsidR="00D65EC0" w:rsidRPr="00EF60AD" w14:paraId="6C657970" w14:textId="77777777" w:rsidTr="003B2F06">
        <w:trPr>
          <w:trHeight w:val="990"/>
        </w:trPr>
        <w:tc>
          <w:tcPr>
            <w:tcW w:w="540" w:type="dxa"/>
            <w:noWrap/>
            <w:vAlign w:val="center"/>
            <w:hideMark/>
          </w:tcPr>
          <w:p w14:paraId="2F1AFDAE" w14:textId="274F7E56"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31</w:t>
            </w:r>
          </w:p>
        </w:tc>
        <w:tc>
          <w:tcPr>
            <w:tcW w:w="565" w:type="dxa"/>
            <w:noWrap/>
            <w:vAlign w:val="center"/>
            <w:hideMark/>
          </w:tcPr>
          <w:p w14:paraId="3982B6CE"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66ABD852"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6996B9AC"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לוודא כי על מנת לקבל את הניקוד המקסימאלי בסעיף זה ( 70 מתוך 70 נק'), עלינו להציג לכל הפחות 70 פרויקטים שונים. קרי, הניקוד עבור פרויקט ייחשב רק עבור תת סעיף אחד. לדוגמא: פרויקט אסטרטגי שנעשה עבור חברה ממשלתית בתחום התחבורה, יקבל נקודה אחת בלבד (או על סעיף פרויקט עבור מערכות ציבוריות שאינן ממשלתיות או על סעיף פרויקט בתחום התחבורה)</w:t>
            </w:r>
          </w:p>
        </w:tc>
        <w:tc>
          <w:tcPr>
            <w:tcW w:w="2037" w:type="dxa"/>
            <w:noWrap/>
            <w:hideMark/>
          </w:tcPr>
          <w:p w14:paraId="565DED4D" w14:textId="1FB8168F"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ניתן לספור פרויקט אחד במספר </w:t>
            </w:r>
            <w:r w:rsidR="00FE45C6" w:rsidRPr="00EF60AD">
              <w:rPr>
                <w:rFonts w:ascii="David" w:hAnsi="David" w:cs="David"/>
                <w:color w:val="000000"/>
                <w:szCs w:val="24"/>
                <w:rtl/>
                <w:lang w:eastAsia="en-US"/>
              </w:rPr>
              <w:t>קריטריונים</w:t>
            </w:r>
            <w:r w:rsidRPr="00EF60AD">
              <w:rPr>
                <w:rFonts w:ascii="David" w:hAnsi="David" w:cs="David"/>
                <w:color w:val="000000"/>
                <w:szCs w:val="24"/>
                <w:rtl/>
                <w:lang w:eastAsia="en-US"/>
              </w:rPr>
              <w:t xml:space="preserve"> שונים.</w:t>
            </w:r>
          </w:p>
        </w:tc>
      </w:tr>
      <w:tr w:rsidR="00D65EC0" w:rsidRPr="00EF60AD" w14:paraId="333048FA" w14:textId="77777777" w:rsidTr="003B2F06">
        <w:trPr>
          <w:trHeight w:val="660"/>
        </w:trPr>
        <w:tc>
          <w:tcPr>
            <w:tcW w:w="540" w:type="dxa"/>
            <w:noWrap/>
            <w:vAlign w:val="center"/>
            <w:hideMark/>
          </w:tcPr>
          <w:p w14:paraId="0BF0AF0F" w14:textId="54DEEEB0"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32</w:t>
            </w:r>
          </w:p>
        </w:tc>
        <w:tc>
          <w:tcPr>
            <w:tcW w:w="565" w:type="dxa"/>
            <w:noWrap/>
            <w:vAlign w:val="center"/>
            <w:hideMark/>
          </w:tcPr>
          <w:p w14:paraId="2B787F2F"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48B3F269"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3A6772CC"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לוודא כי עבור פרויקטים בחו"ל ניתן לקבל ניקוד מקסימאלי של 13 נק' (עבור סעיפי פרויקטים לממשלות זרות ( 8 נק') ופרויקטים במגזר הפרטי במדינות זרות ( 5 נק')). לדוגמא- פרויקט שנעשה בחו"ל עבור חברה פרטית בתחום התחבורה לא יקבל ניקוד עבור סעיף פרויקט בתחום מקצועי תחבורה.</w:t>
            </w:r>
          </w:p>
        </w:tc>
        <w:tc>
          <w:tcPr>
            <w:tcW w:w="2037" w:type="dxa"/>
            <w:noWrap/>
            <w:hideMark/>
          </w:tcPr>
          <w:p w14:paraId="2DABCEFB"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ניתן לספור פרויקט אחד במספר קריטריונים שונים.</w:t>
            </w:r>
          </w:p>
        </w:tc>
      </w:tr>
      <w:tr w:rsidR="00D65EC0" w:rsidRPr="00EF60AD" w14:paraId="434F5DCA" w14:textId="77777777" w:rsidTr="003B2F06">
        <w:trPr>
          <w:trHeight w:val="660"/>
        </w:trPr>
        <w:tc>
          <w:tcPr>
            <w:tcW w:w="540" w:type="dxa"/>
            <w:noWrap/>
            <w:vAlign w:val="center"/>
            <w:hideMark/>
          </w:tcPr>
          <w:p w14:paraId="5E6C77D5" w14:textId="17684268"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33</w:t>
            </w:r>
          </w:p>
        </w:tc>
        <w:tc>
          <w:tcPr>
            <w:tcW w:w="565" w:type="dxa"/>
            <w:noWrap/>
            <w:vAlign w:val="center"/>
            <w:hideMark/>
          </w:tcPr>
          <w:p w14:paraId="023E1E7E"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242481C5"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27932CA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ביחס לעמידה בתנאי הסף של פרויקטים בחו"ל (עבור ממשלות זרות ופרויקטים למגזר הפרטי במדינות זרות), נבקש לוודא כי מדובר בפרויקטים שבוצעו רק עבור גוף שרשום בחו"ל והפרויקט עסק בפעילות הגוף בחו"ל בלבד (ולא ביחס לפעילת אפשרית בישראל).</w:t>
            </w:r>
          </w:p>
        </w:tc>
        <w:tc>
          <w:tcPr>
            <w:tcW w:w="2037" w:type="dxa"/>
            <w:noWrap/>
            <w:hideMark/>
          </w:tcPr>
          <w:p w14:paraId="5425A59D"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התנאי לפרויקטים אלו  הוא שהפרויקט בוצע במדינות זרות, ללא קשר לזהות הגורם לו ניתנה העבודה. מסמכי המכרז יתוקנו.</w:t>
            </w:r>
          </w:p>
        </w:tc>
      </w:tr>
      <w:tr w:rsidR="00D65EC0" w:rsidRPr="00EF60AD" w14:paraId="2C5B5FAE" w14:textId="77777777" w:rsidTr="003B2F06">
        <w:trPr>
          <w:trHeight w:val="990"/>
        </w:trPr>
        <w:tc>
          <w:tcPr>
            <w:tcW w:w="540" w:type="dxa"/>
            <w:noWrap/>
            <w:vAlign w:val="center"/>
            <w:hideMark/>
          </w:tcPr>
          <w:p w14:paraId="56CDDB7C" w14:textId="3E41F2BA"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34</w:t>
            </w:r>
          </w:p>
        </w:tc>
        <w:tc>
          <w:tcPr>
            <w:tcW w:w="565" w:type="dxa"/>
            <w:noWrap/>
            <w:vAlign w:val="center"/>
            <w:hideMark/>
          </w:tcPr>
          <w:p w14:paraId="3269FA5E"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26B6A538"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47ED0A3E"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שורה ראשונה בטבלה- אנא הבהירו או הדגימו את אופן  החישוב. בעיקר לא ברור לנו מהניסוח כיצד ניתן להגיע לניקוד מקסימאלי ( 15 נק'). בסעיף 5ב מופיעים רק 20 סוגים שונים של פרויקטים, כלומר </w:t>
            </w:r>
            <w:r w:rsidRPr="00EF60AD">
              <w:rPr>
                <w:rFonts w:ascii="David" w:hAnsi="David" w:cs="David"/>
                <w:szCs w:val="24"/>
                <w:rtl/>
                <w:lang w:eastAsia="en-US"/>
              </w:rPr>
              <w:lastRenderedPageBreak/>
              <w:t>במידה ובוצעו על ידינו כל סוגי הפרויקטים, לפי הניסוח ניתן להבין כי אפשר לקבל עד 12 נק' בלבד ("כל ניסיון ב- 3 סוגים שונים של ייעוץ כלכלי יזכה את המציע בשתי נקודות בלבד. קרי 20 פרויקטים בסוגים שונים מזכים 6 פעמים בניקוד של 2 נק')</w:t>
            </w:r>
          </w:p>
        </w:tc>
        <w:tc>
          <w:tcPr>
            <w:tcW w:w="2037" w:type="dxa"/>
            <w:noWrap/>
            <w:hideMark/>
          </w:tcPr>
          <w:p w14:paraId="6BAECF80"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lastRenderedPageBreak/>
              <w:t xml:space="preserve">אכן חלה טעות, כל ניסיון ב-3 סוגים שונים של ייעוץ כלכלי יזכה את המציע </w:t>
            </w:r>
            <w:r w:rsidRPr="00EF60AD">
              <w:rPr>
                <w:rFonts w:ascii="David" w:hAnsi="David" w:cs="David"/>
                <w:color w:val="000000"/>
                <w:szCs w:val="24"/>
                <w:rtl/>
                <w:lang w:eastAsia="en-US"/>
              </w:rPr>
              <w:lastRenderedPageBreak/>
              <w:t xml:space="preserve">בשלוש נקודות עד לסך </w:t>
            </w:r>
            <w:proofErr w:type="spellStart"/>
            <w:r w:rsidRPr="00EF60AD">
              <w:rPr>
                <w:rFonts w:ascii="David" w:hAnsi="David" w:cs="David"/>
                <w:color w:val="000000"/>
                <w:szCs w:val="24"/>
                <w:rtl/>
                <w:lang w:eastAsia="en-US"/>
              </w:rPr>
              <w:t>הכל</w:t>
            </w:r>
            <w:proofErr w:type="spellEnd"/>
            <w:r w:rsidRPr="00EF60AD">
              <w:rPr>
                <w:rFonts w:ascii="David" w:hAnsi="David" w:cs="David"/>
                <w:color w:val="000000"/>
                <w:szCs w:val="24"/>
                <w:rtl/>
                <w:lang w:eastAsia="en-US"/>
              </w:rPr>
              <w:t xml:space="preserve"> של 15 </w:t>
            </w:r>
            <w:proofErr w:type="spellStart"/>
            <w:r w:rsidRPr="00EF60AD">
              <w:rPr>
                <w:rFonts w:ascii="David" w:hAnsi="David" w:cs="David"/>
                <w:color w:val="000000"/>
                <w:szCs w:val="24"/>
                <w:rtl/>
                <w:lang w:eastAsia="en-US"/>
              </w:rPr>
              <w:t>נק</w:t>
            </w:r>
            <w:proofErr w:type="spellEnd"/>
            <w:r w:rsidRPr="00EF60AD">
              <w:rPr>
                <w:rFonts w:ascii="David" w:hAnsi="David" w:cs="David"/>
                <w:color w:val="000000"/>
                <w:szCs w:val="24"/>
                <w:rtl/>
                <w:lang w:eastAsia="en-US"/>
              </w:rPr>
              <w:t>'. מסמכי המכרז יתוקנו.</w:t>
            </w:r>
          </w:p>
        </w:tc>
      </w:tr>
      <w:tr w:rsidR="00D65EC0" w:rsidRPr="00EF60AD" w14:paraId="189FB3AE" w14:textId="77777777" w:rsidTr="003B2F06">
        <w:trPr>
          <w:trHeight w:val="330"/>
        </w:trPr>
        <w:tc>
          <w:tcPr>
            <w:tcW w:w="540" w:type="dxa"/>
            <w:noWrap/>
            <w:vAlign w:val="center"/>
            <w:hideMark/>
          </w:tcPr>
          <w:p w14:paraId="73EE803F" w14:textId="2405625C"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35</w:t>
            </w:r>
          </w:p>
        </w:tc>
        <w:tc>
          <w:tcPr>
            <w:tcW w:w="565" w:type="dxa"/>
            <w:noWrap/>
            <w:vAlign w:val="center"/>
            <w:hideMark/>
          </w:tcPr>
          <w:p w14:paraId="1FBAF117"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61BFD11A"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16C5B2CE"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ניסיון בייעוץ לייעול מערכות ציבוריות- נבקש לוודא שמשרדי ממשלה כלולים בסעיף זה.</w:t>
            </w:r>
          </w:p>
        </w:tc>
        <w:tc>
          <w:tcPr>
            <w:tcW w:w="2037" w:type="dxa"/>
            <w:hideMark/>
          </w:tcPr>
          <w:p w14:paraId="396952F1" w14:textId="77777777" w:rsidR="00D65EC0" w:rsidRPr="00EF60AD" w:rsidRDefault="00D65EC0" w:rsidP="00EF60AD">
            <w:pPr>
              <w:spacing w:line="360" w:lineRule="auto"/>
              <w:rPr>
                <w:rFonts w:ascii="David" w:hAnsi="David" w:cs="David"/>
                <w:szCs w:val="24"/>
                <w:rtl/>
                <w:lang w:eastAsia="en-US"/>
              </w:rPr>
            </w:pPr>
            <w:r w:rsidRPr="00EF60AD">
              <w:rPr>
                <w:rFonts w:ascii="David" w:hAnsi="David" w:cs="David"/>
                <w:szCs w:val="24"/>
                <w:rtl/>
                <w:lang w:eastAsia="en-US"/>
              </w:rPr>
              <w:t xml:space="preserve">משרדי ממשלה נכללים בסעיף זה. </w:t>
            </w:r>
          </w:p>
        </w:tc>
      </w:tr>
      <w:tr w:rsidR="00D65EC0" w:rsidRPr="00EF60AD" w14:paraId="0DACCEC0" w14:textId="77777777" w:rsidTr="003B2F06">
        <w:trPr>
          <w:trHeight w:val="330"/>
        </w:trPr>
        <w:tc>
          <w:tcPr>
            <w:tcW w:w="540" w:type="dxa"/>
            <w:noWrap/>
            <w:vAlign w:val="center"/>
            <w:hideMark/>
          </w:tcPr>
          <w:p w14:paraId="41BCE2AB" w14:textId="473C7F82"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rPr>
              <w:t>36</w:t>
            </w:r>
          </w:p>
        </w:tc>
        <w:tc>
          <w:tcPr>
            <w:tcW w:w="565" w:type="dxa"/>
            <w:noWrap/>
            <w:vAlign w:val="center"/>
            <w:hideMark/>
          </w:tcPr>
          <w:p w14:paraId="06508667"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5A40CD72"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031678D1"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מומחים מהמדינות הנסקרות – האם ניתן להציג עבודות בהן המומחים לארץ היעד הינם תושבי הארץ?</w:t>
            </w:r>
          </w:p>
        </w:tc>
        <w:tc>
          <w:tcPr>
            <w:tcW w:w="2037" w:type="dxa"/>
            <w:noWrap/>
            <w:hideMark/>
          </w:tcPr>
          <w:p w14:paraId="10259AB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לא, הכוונה היא שנעשה כחלק מהסקירה תהליך למידה למול גורמי שוק/מדיניות/אקדמיה במדינות הרלוונטיות</w:t>
            </w:r>
          </w:p>
        </w:tc>
      </w:tr>
      <w:tr w:rsidR="00D65EC0" w:rsidRPr="00EF60AD" w14:paraId="3F86CAE7" w14:textId="77777777" w:rsidTr="003B2F06">
        <w:trPr>
          <w:trHeight w:val="330"/>
        </w:trPr>
        <w:tc>
          <w:tcPr>
            <w:tcW w:w="540" w:type="dxa"/>
            <w:noWrap/>
            <w:vAlign w:val="center"/>
            <w:hideMark/>
          </w:tcPr>
          <w:p w14:paraId="398460AF" w14:textId="19B50C9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37</w:t>
            </w:r>
          </w:p>
        </w:tc>
        <w:tc>
          <w:tcPr>
            <w:tcW w:w="565" w:type="dxa"/>
            <w:noWrap/>
            <w:vAlign w:val="center"/>
            <w:hideMark/>
          </w:tcPr>
          <w:p w14:paraId="267DF79C"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vAlign w:val="center"/>
            <w:hideMark/>
          </w:tcPr>
          <w:p w14:paraId="4990F3F0"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58EB16FA"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סל 1 וסל 2 – תוכן הבחינה – סעיף ראשון – נבקש לוודא כי ההיקף הכספי הנדרש בסעיף הינו היקף הכספי של שכ"ט? </w:t>
            </w:r>
          </w:p>
        </w:tc>
        <w:tc>
          <w:tcPr>
            <w:tcW w:w="2037" w:type="dxa"/>
            <w:noWrap/>
            <w:hideMark/>
          </w:tcPr>
          <w:p w14:paraId="4DDD5806"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אכן</w:t>
            </w:r>
          </w:p>
        </w:tc>
      </w:tr>
      <w:tr w:rsidR="00D65EC0" w:rsidRPr="00EF60AD" w14:paraId="14881788" w14:textId="77777777" w:rsidTr="003B2F06">
        <w:trPr>
          <w:trHeight w:val="330"/>
        </w:trPr>
        <w:tc>
          <w:tcPr>
            <w:tcW w:w="540" w:type="dxa"/>
            <w:noWrap/>
            <w:vAlign w:val="center"/>
            <w:hideMark/>
          </w:tcPr>
          <w:p w14:paraId="3122C8E6" w14:textId="245277F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38</w:t>
            </w:r>
          </w:p>
        </w:tc>
        <w:tc>
          <w:tcPr>
            <w:tcW w:w="565" w:type="dxa"/>
            <w:vAlign w:val="center"/>
            <w:hideMark/>
          </w:tcPr>
          <w:p w14:paraId="1E81F640"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vAlign w:val="center"/>
            <w:hideMark/>
          </w:tcPr>
          <w:p w14:paraId="7AD0AECB"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32CE8EC5"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האם לאור רגישות זהות לקוחות, ניתן לעיתים "להלבין" את שם הלקוח ולהחליפו בתיאור כגון: חברת מזון מובילה. </w:t>
            </w:r>
          </w:p>
        </w:tc>
        <w:tc>
          <w:tcPr>
            <w:tcW w:w="2037" w:type="dxa"/>
            <w:noWrap/>
            <w:hideMark/>
          </w:tcPr>
          <w:p w14:paraId="3947DA22" w14:textId="77777777" w:rsidR="00D65EC0" w:rsidRPr="00EF60AD" w:rsidRDefault="00D65EC0" w:rsidP="00EF60AD">
            <w:pPr>
              <w:spacing w:line="360" w:lineRule="auto"/>
              <w:rPr>
                <w:rFonts w:ascii="David" w:hAnsi="David" w:cs="David"/>
                <w:color w:val="000000"/>
                <w:szCs w:val="24"/>
                <w:lang w:eastAsia="en-US"/>
              </w:rPr>
            </w:pPr>
            <w:r w:rsidRPr="00EF60AD">
              <w:rPr>
                <w:rFonts w:ascii="David" w:hAnsi="David" w:cs="David"/>
                <w:color w:val="000000"/>
                <w:szCs w:val="24"/>
                <w:rtl/>
                <w:lang w:eastAsia="en-US"/>
              </w:rPr>
              <w:t xml:space="preserve">במקרים חריגים בהם לדעת המציע שמה של החברה מהווה סוד מסחרי או מקצועי של המציע או שעצם חשיפת שמה במסגרת ההצעה עלול לפגוע בחברה, ניתן להשחיר את שם החברה בלבד. </w:t>
            </w:r>
          </w:p>
        </w:tc>
      </w:tr>
      <w:tr w:rsidR="00D65EC0" w:rsidRPr="00EF60AD" w14:paraId="634886ED" w14:textId="77777777" w:rsidTr="003B2F06">
        <w:trPr>
          <w:trHeight w:val="990"/>
        </w:trPr>
        <w:tc>
          <w:tcPr>
            <w:tcW w:w="540" w:type="dxa"/>
            <w:noWrap/>
            <w:vAlign w:val="center"/>
            <w:hideMark/>
          </w:tcPr>
          <w:p w14:paraId="43FB7354" w14:textId="32B4399E"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39</w:t>
            </w:r>
          </w:p>
        </w:tc>
        <w:tc>
          <w:tcPr>
            <w:tcW w:w="565" w:type="dxa"/>
            <w:vAlign w:val="center"/>
            <w:hideMark/>
          </w:tcPr>
          <w:p w14:paraId="20843CD4"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vAlign w:val="center"/>
            <w:hideMark/>
          </w:tcPr>
          <w:p w14:paraId="0C1E464B"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007B6458"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האם פרויקט המשתייך למספר סלים (לדוגמא: פרויקט אסטרטגי שכלל מידענות משמעותית) או פרויקט העונה על מספר קטגוריות בתוך אותו סל (לדוגמא: פרויקט אסטרטגי משותף של גוף פרטי גדול ומשרד ממשלתי מסוים), יכול להיספר ביותר מקטגוריה אחת וביותר מסל אחד (ככל שעונה על הקריטריונים), כנהוג במכרזים מהסוג הזה?</w:t>
            </w:r>
          </w:p>
        </w:tc>
        <w:tc>
          <w:tcPr>
            <w:tcW w:w="2037" w:type="dxa"/>
            <w:noWrap/>
            <w:hideMark/>
          </w:tcPr>
          <w:p w14:paraId="18C5472F"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פרויקט שנכלל בהצעה לאחד מהסלים לא יכול </w:t>
            </w:r>
            <w:proofErr w:type="spellStart"/>
            <w:r w:rsidRPr="00EF60AD">
              <w:rPr>
                <w:rFonts w:ascii="David" w:hAnsi="David" w:cs="David"/>
                <w:color w:val="000000"/>
                <w:szCs w:val="24"/>
                <w:rtl/>
                <w:lang w:eastAsia="en-US"/>
              </w:rPr>
              <w:t>להכלל</w:t>
            </w:r>
            <w:proofErr w:type="spellEnd"/>
            <w:r w:rsidRPr="00EF60AD">
              <w:rPr>
                <w:rFonts w:ascii="David" w:hAnsi="David" w:cs="David"/>
                <w:color w:val="000000"/>
                <w:szCs w:val="24"/>
                <w:rtl/>
                <w:lang w:eastAsia="en-US"/>
              </w:rPr>
              <w:t xml:space="preserve"> בהצעה לסל אחר. וככלל לדוגמה לא ניתן להגיש עבודה אסטרטגית בה בוצע גם מידענות לצורך ניסיון בעבודת מידענות.</w:t>
            </w:r>
          </w:p>
        </w:tc>
      </w:tr>
      <w:tr w:rsidR="00D65EC0" w:rsidRPr="00EF60AD" w14:paraId="3F4FEBD7" w14:textId="77777777" w:rsidTr="003B2F06">
        <w:trPr>
          <w:trHeight w:val="990"/>
        </w:trPr>
        <w:tc>
          <w:tcPr>
            <w:tcW w:w="540" w:type="dxa"/>
            <w:noWrap/>
            <w:vAlign w:val="center"/>
            <w:hideMark/>
          </w:tcPr>
          <w:p w14:paraId="706D27EB" w14:textId="4490E926"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40</w:t>
            </w:r>
          </w:p>
        </w:tc>
        <w:tc>
          <w:tcPr>
            <w:tcW w:w="565" w:type="dxa"/>
            <w:vAlign w:val="center"/>
            <w:hideMark/>
          </w:tcPr>
          <w:p w14:paraId="26A16798"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vAlign w:val="center"/>
            <w:hideMark/>
          </w:tcPr>
          <w:p w14:paraId="19100A90"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 סל 1</w:t>
            </w:r>
          </w:p>
        </w:tc>
        <w:tc>
          <w:tcPr>
            <w:tcW w:w="4901" w:type="dxa"/>
            <w:hideMark/>
          </w:tcPr>
          <w:p w14:paraId="1771EFB6" w14:textId="0F687B6C"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לגבי החלק הראשון של הטבלה המתייחס ל"ניסיון המציע בביצוע פרויקטים של ייעוץ אסטרטגי איכותי" (24 נקודות): בפרויקטים לאומיים רחבים </w:t>
            </w:r>
            <w:r w:rsidRPr="00EF60AD">
              <w:rPr>
                <w:rFonts w:ascii="David" w:hAnsi="David" w:cs="David"/>
                <w:szCs w:val="24"/>
                <w:rtl/>
                <w:lang w:eastAsia="en-US"/>
              </w:rPr>
              <w:lastRenderedPageBreak/>
              <w:t xml:space="preserve">וגדולים אשר נגעו במספר תחומים מקצועיים במסגרת אותו פרויקט, למשל בבינוי, תחבורה ובריאות, האם </w:t>
            </w:r>
            <w:r w:rsidR="00FE45C6" w:rsidRPr="00EF60AD">
              <w:rPr>
                <w:rFonts w:ascii="David" w:hAnsi="David" w:cs="David"/>
                <w:szCs w:val="24"/>
                <w:rtl/>
                <w:lang w:eastAsia="en-US"/>
              </w:rPr>
              <w:t>יינתן</w:t>
            </w:r>
            <w:r w:rsidRPr="00EF60AD">
              <w:rPr>
                <w:rFonts w:ascii="David" w:hAnsi="David" w:cs="David"/>
                <w:szCs w:val="24"/>
                <w:rtl/>
                <w:lang w:eastAsia="en-US"/>
              </w:rPr>
              <w:t xml:space="preserve"> ניקוד של 3 נקודות עבור הפרויקט (נקודה עבור כל תחום מקצועי)? </w:t>
            </w:r>
          </w:p>
        </w:tc>
        <w:tc>
          <w:tcPr>
            <w:tcW w:w="2037" w:type="dxa"/>
            <w:noWrap/>
            <w:hideMark/>
          </w:tcPr>
          <w:p w14:paraId="0905D1D7"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lastRenderedPageBreak/>
              <w:t> </w:t>
            </w:r>
            <w:r w:rsidRPr="00EF60AD">
              <w:rPr>
                <w:rFonts w:ascii="David" w:hAnsi="David" w:cs="David"/>
                <w:color w:val="000000"/>
                <w:szCs w:val="24"/>
                <w:rtl/>
                <w:lang w:eastAsia="en-US"/>
              </w:rPr>
              <w:t xml:space="preserve">לא, יש לבחור מה הוא התחום המקצועי </w:t>
            </w:r>
            <w:r w:rsidRPr="00EF60AD">
              <w:rPr>
                <w:rFonts w:ascii="David" w:hAnsi="David" w:cs="David"/>
                <w:color w:val="000000"/>
                <w:szCs w:val="24"/>
                <w:rtl/>
                <w:lang w:eastAsia="en-US"/>
              </w:rPr>
              <w:lastRenderedPageBreak/>
              <w:t>המרכזי בו עסק הפרויקט</w:t>
            </w:r>
          </w:p>
        </w:tc>
      </w:tr>
      <w:tr w:rsidR="00D65EC0" w:rsidRPr="00EF60AD" w14:paraId="126EC6FA" w14:textId="77777777" w:rsidTr="003B2F06">
        <w:trPr>
          <w:trHeight w:val="660"/>
        </w:trPr>
        <w:tc>
          <w:tcPr>
            <w:tcW w:w="540" w:type="dxa"/>
            <w:noWrap/>
            <w:vAlign w:val="center"/>
            <w:hideMark/>
          </w:tcPr>
          <w:p w14:paraId="78175C90" w14:textId="5844D326"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41</w:t>
            </w:r>
          </w:p>
        </w:tc>
        <w:tc>
          <w:tcPr>
            <w:tcW w:w="565" w:type="dxa"/>
            <w:vAlign w:val="center"/>
            <w:hideMark/>
          </w:tcPr>
          <w:p w14:paraId="3346E8C3"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vAlign w:val="center"/>
            <w:hideMark/>
          </w:tcPr>
          <w:p w14:paraId="425C62C5"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 סל 1</w:t>
            </w:r>
          </w:p>
        </w:tc>
        <w:tc>
          <w:tcPr>
            <w:tcW w:w="4901" w:type="dxa"/>
            <w:hideMark/>
          </w:tcPr>
          <w:p w14:paraId="6D4608EA"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לגבי החלק הראשון של הטבלה המתייחס ל"ניסיון המציע בביצוע פרויקטים של ייעוץ אסטרטגי איכותי" (24 נקודות): למען הסר ספק, מהו הניקוד המקסימלי שיכול כל פרויקט לצבור? האם כל פרויקט יכול לקבל עד 5 נקודות? </w:t>
            </w:r>
          </w:p>
        </w:tc>
        <w:tc>
          <w:tcPr>
            <w:tcW w:w="2037" w:type="dxa"/>
            <w:noWrap/>
            <w:hideMark/>
          </w:tcPr>
          <w:p w14:paraId="32D0E1AF"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פרויקט יכול לצבור עד מקסימום 5 נקודות</w:t>
            </w:r>
          </w:p>
        </w:tc>
      </w:tr>
      <w:tr w:rsidR="00D65EC0" w:rsidRPr="00EF60AD" w14:paraId="2CD6EF23" w14:textId="77777777" w:rsidTr="003B2F06">
        <w:trPr>
          <w:trHeight w:val="660"/>
        </w:trPr>
        <w:tc>
          <w:tcPr>
            <w:tcW w:w="540" w:type="dxa"/>
            <w:noWrap/>
            <w:vAlign w:val="center"/>
            <w:hideMark/>
          </w:tcPr>
          <w:p w14:paraId="3ED4147A" w14:textId="3F6E11EB"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42</w:t>
            </w:r>
          </w:p>
        </w:tc>
        <w:tc>
          <w:tcPr>
            <w:tcW w:w="565" w:type="dxa"/>
            <w:vAlign w:val="center"/>
            <w:hideMark/>
          </w:tcPr>
          <w:p w14:paraId="692253E0"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vAlign w:val="center"/>
            <w:hideMark/>
          </w:tcPr>
          <w:p w14:paraId="64F8A41F"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 סל 1</w:t>
            </w:r>
          </w:p>
        </w:tc>
        <w:tc>
          <w:tcPr>
            <w:tcW w:w="4901" w:type="dxa"/>
            <w:hideMark/>
          </w:tcPr>
          <w:p w14:paraId="31BD1ABF"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לגבי החלק הראשון של הטבלה המתייחס ל"ניסיון המציע בביצוע פרויקטים של ייעוץ אסטרטגי איכותי" (24 נקודות): מהו מספר הפרויקטים המקסימלי שניתן להציג במענה לקריטריון זה? </w:t>
            </w:r>
          </w:p>
        </w:tc>
        <w:tc>
          <w:tcPr>
            <w:tcW w:w="2037" w:type="dxa"/>
            <w:noWrap/>
            <w:hideMark/>
          </w:tcPr>
          <w:p w14:paraId="3EB7D0ED"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אין מגבלה על מספר הפרויקטים </w:t>
            </w:r>
          </w:p>
        </w:tc>
      </w:tr>
      <w:tr w:rsidR="00D65EC0" w:rsidRPr="00EF60AD" w14:paraId="61A5BA44" w14:textId="77777777" w:rsidTr="003B2F06">
        <w:trPr>
          <w:trHeight w:val="660"/>
        </w:trPr>
        <w:tc>
          <w:tcPr>
            <w:tcW w:w="540" w:type="dxa"/>
            <w:noWrap/>
            <w:vAlign w:val="center"/>
            <w:hideMark/>
          </w:tcPr>
          <w:p w14:paraId="73F990DC" w14:textId="5EFD98C9"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43</w:t>
            </w:r>
          </w:p>
        </w:tc>
        <w:tc>
          <w:tcPr>
            <w:tcW w:w="565" w:type="dxa"/>
            <w:vAlign w:val="center"/>
            <w:hideMark/>
          </w:tcPr>
          <w:p w14:paraId="48374520"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0B63CA8C"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0E5E223F" w14:textId="29E2A0A9"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האם פרויקט אחד יכול לזכות במקביל בניקוד בכמה קריטריונים? (לדוג' פרויקט ייעוץ </w:t>
            </w:r>
            <w:r w:rsidR="00FE45C6" w:rsidRPr="00EF60AD">
              <w:rPr>
                <w:rFonts w:ascii="David" w:hAnsi="David" w:cs="David"/>
                <w:szCs w:val="24"/>
                <w:rtl/>
                <w:lang w:eastAsia="en-US"/>
              </w:rPr>
              <w:t>אסטרטגי</w:t>
            </w:r>
            <w:r w:rsidRPr="00EF60AD">
              <w:rPr>
                <w:rFonts w:ascii="David" w:hAnsi="David" w:cs="David"/>
                <w:szCs w:val="24"/>
                <w:rtl/>
                <w:lang w:eastAsia="en-US"/>
              </w:rPr>
              <w:t xml:space="preserve"> (1+), בתחום התחבורה (1+), שעסק בנושא של רגולציה (1+) ויושם באופן מלא (2+) יקבל ניקוד מלא של 5 נקודות?)</w:t>
            </w:r>
          </w:p>
        </w:tc>
        <w:tc>
          <w:tcPr>
            <w:tcW w:w="2037" w:type="dxa"/>
            <w:noWrap/>
            <w:hideMark/>
          </w:tcPr>
          <w:p w14:paraId="4C548601"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כן</w:t>
            </w:r>
          </w:p>
        </w:tc>
      </w:tr>
      <w:tr w:rsidR="00D65EC0" w:rsidRPr="00EF60AD" w14:paraId="2B9C2445" w14:textId="77777777" w:rsidTr="003B2F06">
        <w:trPr>
          <w:trHeight w:val="330"/>
        </w:trPr>
        <w:tc>
          <w:tcPr>
            <w:tcW w:w="540" w:type="dxa"/>
            <w:noWrap/>
            <w:vAlign w:val="center"/>
            <w:hideMark/>
          </w:tcPr>
          <w:p w14:paraId="2DE79DBE" w14:textId="12A325F0"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44</w:t>
            </w:r>
          </w:p>
        </w:tc>
        <w:tc>
          <w:tcPr>
            <w:tcW w:w="565" w:type="dxa"/>
            <w:vAlign w:val="center"/>
            <w:hideMark/>
          </w:tcPr>
          <w:p w14:paraId="299B501A"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465CB343"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6D55E58F"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בקריטריונים בהם לא צוין "מגזר ציבורי" , האם הפרויקטים יכולים להיכלל גם במגזר הציבורי וגם במגזר הפרטי?</w:t>
            </w:r>
          </w:p>
        </w:tc>
        <w:tc>
          <w:tcPr>
            <w:tcW w:w="2037" w:type="dxa"/>
            <w:noWrap/>
            <w:hideMark/>
          </w:tcPr>
          <w:p w14:paraId="13547F16" w14:textId="271015CC"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כן בסל הייעוץ האסטרטגי באמת המידה של יעוץ אסטרטגי איכותי ניתן להציג פרויקטים שבוצעו הן עבור גוץ ציבורי והן עבור גוף פרטי.</w:t>
            </w:r>
          </w:p>
        </w:tc>
      </w:tr>
      <w:tr w:rsidR="00D65EC0" w:rsidRPr="00EF60AD" w14:paraId="5C5E00BF" w14:textId="77777777" w:rsidTr="003B2F06">
        <w:trPr>
          <w:trHeight w:val="660"/>
        </w:trPr>
        <w:tc>
          <w:tcPr>
            <w:tcW w:w="540" w:type="dxa"/>
            <w:noWrap/>
            <w:vAlign w:val="center"/>
            <w:hideMark/>
          </w:tcPr>
          <w:p w14:paraId="2028242A" w14:textId="6844AEB7"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45</w:t>
            </w:r>
          </w:p>
        </w:tc>
        <w:tc>
          <w:tcPr>
            <w:tcW w:w="565" w:type="dxa"/>
            <w:noWrap/>
            <w:vAlign w:val="center"/>
            <w:hideMark/>
          </w:tcPr>
          <w:p w14:paraId="3F002278"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03372CD0"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11.2.2.1</w:t>
            </w:r>
          </w:p>
        </w:tc>
        <w:tc>
          <w:tcPr>
            <w:tcW w:w="4901" w:type="dxa"/>
            <w:hideMark/>
          </w:tcPr>
          <w:p w14:paraId="76BEEB85"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כל המציעים שיקבלו 55 נק' ומעלה בשלב זה יעברו  לשלב הריאיון – נא אשרו שהכוונה ל-55 מתוך 100 (אחרת, ציון המעבר עומד על 79% ומפחית מאוד את סיכוי המעבר לחברות שעקר התמחותן ופעילותן במשק המקומי. בד"כ ציון המעבר במכרזים למעבר בין שלב לשלב נע בין 60% ל-70%).</w:t>
            </w:r>
          </w:p>
        </w:tc>
        <w:tc>
          <w:tcPr>
            <w:tcW w:w="2037" w:type="dxa"/>
            <w:noWrap/>
            <w:hideMark/>
          </w:tcPr>
          <w:p w14:paraId="155E43DC"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מדובר על 55 מתוך 70 הנקודות האפשריות לשלב הניסיון מקצועי ומוניטין.</w:t>
            </w:r>
          </w:p>
        </w:tc>
      </w:tr>
      <w:tr w:rsidR="00D65EC0" w:rsidRPr="00EF60AD" w14:paraId="7B3DEC60" w14:textId="77777777" w:rsidTr="003B2F06">
        <w:trPr>
          <w:trHeight w:val="330"/>
        </w:trPr>
        <w:tc>
          <w:tcPr>
            <w:tcW w:w="540" w:type="dxa"/>
            <w:noWrap/>
            <w:vAlign w:val="center"/>
            <w:hideMark/>
          </w:tcPr>
          <w:p w14:paraId="060AFD78" w14:textId="5B697A74"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46</w:t>
            </w:r>
          </w:p>
        </w:tc>
        <w:tc>
          <w:tcPr>
            <w:tcW w:w="565" w:type="dxa"/>
            <w:vAlign w:val="center"/>
            <w:hideMark/>
          </w:tcPr>
          <w:p w14:paraId="6EAA9705"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16</w:t>
            </w:r>
          </w:p>
        </w:tc>
        <w:tc>
          <w:tcPr>
            <w:tcW w:w="1183" w:type="dxa"/>
            <w:noWrap/>
            <w:vAlign w:val="center"/>
            <w:hideMark/>
          </w:tcPr>
          <w:p w14:paraId="21707E06"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11.2.3</w:t>
            </w:r>
          </w:p>
        </w:tc>
        <w:tc>
          <w:tcPr>
            <w:tcW w:w="4901" w:type="dxa"/>
            <w:hideMark/>
          </w:tcPr>
          <w:p w14:paraId="739F7289" w14:textId="0198CA6E" w:rsidR="00D65EC0" w:rsidRPr="00EF60AD" w:rsidRDefault="00FE45C6" w:rsidP="00EF60AD">
            <w:pPr>
              <w:spacing w:line="360" w:lineRule="auto"/>
              <w:jc w:val="left"/>
              <w:rPr>
                <w:rFonts w:ascii="David" w:hAnsi="David" w:cs="David"/>
                <w:szCs w:val="24"/>
                <w:rtl/>
                <w:lang w:eastAsia="en-US"/>
              </w:rPr>
            </w:pPr>
            <w:r w:rsidRPr="00EF60AD">
              <w:rPr>
                <w:rFonts w:ascii="David" w:hAnsi="David" w:cs="David"/>
                <w:szCs w:val="24"/>
                <w:rtl/>
                <w:lang w:eastAsia="en-US"/>
              </w:rPr>
              <w:t>במידה וחברי הצוות לא יוכ</w:t>
            </w:r>
            <w:r w:rsidR="00D65EC0" w:rsidRPr="00EF60AD">
              <w:rPr>
                <w:rFonts w:ascii="David" w:hAnsi="David" w:cs="David"/>
                <w:szCs w:val="24"/>
                <w:rtl/>
                <w:lang w:eastAsia="en-US"/>
              </w:rPr>
              <w:t>לו להגיע לשלב הראיונות, האם יוכלו להשתתף באופן טלפוני?</w:t>
            </w:r>
          </w:p>
        </w:tc>
        <w:tc>
          <w:tcPr>
            <w:tcW w:w="2037" w:type="dxa"/>
            <w:noWrap/>
            <w:hideMark/>
          </w:tcPr>
          <w:p w14:paraId="46F9E11D" w14:textId="28969FEF"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w:t>
            </w:r>
          </w:p>
        </w:tc>
      </w:tr>
      <w:tr w:rsidR="00D65EC0" w:rsidRPr="00EF60AD" w14:paraId="2248422F" w14:textId="77777777" w:rsidTr="003B2F06">
        <w:trPr>
          <w:trHeight w:val="660"/>
        </w:trPr>
        <w:tc>
          <w:tcPr>
            <w:tcW w:w="540" w:type="dxa"/>
            <w:noWrap/>
            <w:vAlign w:val="center"/>
            <w:hideMark/>
          </w:tcPr>
          <w:p w14:paraId="541EBC1E" w14:textId="204DBFC4"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47</w:t>
            </w:r>
          </w:p>
        </w:tc>
        <w:tc>
          <w:tcPr>
            <w:tcW w:w="565" w:type="dxa"/>
            <w:noWrap/>
            <w:vAlign w:val="center"/>
            <w:hideMark/>
          </w:tcPr>
          <w:p w14:paraId="3A23AEEE"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17</w:t>
            </w:r>
          </w:p>
        </w:tc>
        <w:tc>
          <w:tcPr>
            <w:tcW w:w="1183" w:type="dxa"/>
            <w:noWrap/>
            <w:vAlign w:val="center"/>
            <w:hideMark/>
          </w:tcPr>
          <w:p w14:paraId="05FAA6BF"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w:t>
            </w:r>
          </w:p>
        </w:tc>
        <w:tc>
          <w:tcPr>
            <w:tcW w:w="4901" w:type="dxa"/>
            <w:hideMark/>
          </w:tcPr>
          <w:p w14:paraId="7BDBAF65"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נבקש לוודא כי עבור פרויקטים בחו"ל ניתן לקבל ניקוד מקסימאלי של 5 נק' (ייעוץ כלכלי עבור </w:t>
            </w:r>
            <w:r w:rsidRPr="00EF60AD">
              <w:rPr>
                <w:rFonts w:ascii="David" w:hAnsi="David" w:cs="David"/>
                <w:szCs w:val="24"/>
                <w:rtl/>
                <w:lang w:eastAsia="en-US"/>
              </w:rPr>
              <w:lastRenderedPageBreak/>
              <w:t xml:space="preserve">ממשלות זרות). פרויקטים נוספים שנעשו בחו"ל לא יקבלו ניקוד עבור סעיף אחרים מלבד הסעיף הנ"ל. </w:t>
            </w:r>
          </w:p>
        </w:tc>
        <w:tc>
          <w:tcPr>
            <w:tcW w:w="2037" w:type="dxa"/>
            <w:noWrap/>
            <w:hideMark/>
          </w:tcPr>
          <w:p w14:paraId="35E4B6DE" w14:textId="24A68F01"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lastRenderedPageBreak/>
              <w:t> </w:t>
            </w:r>
            <w:r w:rsidRPr="00EF60AD">
              <w:rPr>
                <w:rFonts w:ascii="David" w:hAnsi="David" w:cs="David"/>
                <w:color w:val="000000"/>
                <w:szCs w:val="24"/>
                <w:rtl/>
                <w:lang w:eastAsia="en-US"/>
              </w:rPr>
              <w:t xml:space="preserve">אכן, לא ניתן להגיש </w:t>
            </w:r>
            <w:r w:rsidR="00FE45C6" w:rsidRPr="00EF60AD">
              <w:rPr>
                <w:rFonts w:ascii="David" w:hAnsi="David" w:cs="David"/>
                <w:color w:val="000000"/>
                <w:szCs w:val="24"/>
                <w:rtl/>
                <w:lang w:eastAsia="en-US"/>
              </w:rPr>
              <w:t>פרויקטים</w:t>
            </w:r>
            <w:r w:rsidRPr="00EF60AD">
              <w:rPr>
                <w:rFonts w:ascii="David" w:hAnsi="David" w:cs="David"/>
                <w:color w:val="000000"/>
                <w:szCs w:val="24"/>
                <w:rtl/>
                <w:lang w:eastAsia="en-US"/>
              </w:rPr>
              <w:t xml:space="preserve"> בחו"ל </w:t>
            </w:r>
            <w:r w:rsidRPr="00EF60AD">
              <w:rPr>
                <w:rFonts w:ascii="David" w:hAnsi="David" w:cs="David"/>
                <w:color w:val="000000"/>
                <w:szCs w:val="24"/>
                <w:rtl/>
                <w:lang w:eastAsia="en-US"/>
              </w:rPr>
              <w:lastRenderedPageBreak/>
              <w:t>בקריטריונים האחרים.</w:t>
            </w:r>
          </w:p>
        </w:tc>
      </w:tr>
      <w:tr w:rsidR="00D65EC0" w:rsidRPr="00EF60AD" w14:paraId="0AFEB20B" w14:textId="77777777" w:rsidTr="003B2F06">
        <w:trPr>
          <w:trHeight w:val="660"/>
        </w:trPr>
        <w:tc>
          <w:tcPr>
            <w:tcW w:w="540" w:type="dxa"/>
            <w:noWrap/>
            <w:vAlign w:val="center"/>
            <w:hideMark/>
          </w:tcPr>
          <w:p w14:paraId="00AF0CE5" w14:textId="001D385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48</w:t>
            </w:r>
          </w:p>
        </w:tc>
        <w:tc>
          <w:tcPr>
            <w:tcW w:w="565" w:type="dxa"/>
            <w:vAlign w:val="center"/>
            <w:hideMark/>
          </w:tcPr>
          <w:p w14:paraId="568E5F8B"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17</w:t>
            </w:r>
          </w:p>
        </w:tc>
        <w:tc>
          <w:tcPr>
            <w:tcW w:w="1183" w:type="dxa"/>
            <w:vAlign w:val="center"/>
            <w:hideMark/>
          </w:tcPr>
          <w:p w14:paraId="2EF433BC"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 סל 2</w:t>
            </w:r>
          </w:p>
        </w:tc>
        <w:tc>
          <w:tcPr>
            <w:tcW w:w="4901" w:type="dxa"/>
            <w:hideMark/>
          </w:tcPr>
          <w:p w14:paraId="6971893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לגבי ניסיון המציע בביצוע פרויקטים של ייעוץ כלכלי איכותי - למען הסר ספק, לא כל פרויקט שיוצג בסעיף זה חייב לעסוק ב-3 סוגי ייעוץ כלכלי אלא הניקוד עבור כל 3 סוגי ייעוץ יינתן עבור כלל הפרויקטים שהוצגו במשותף? </w:t>
            </w:r>
          </w:p>
        </w:tc>
        <w:tc>
          <w:tcPr>
            <w:tcW w:w="2037" w:type="dxa"/>
            <w:noWrap/>
            <w:hideMark/>
          </w:tcPr>
          <w:p w14:paraId="43AAD01D" w14:textId="096E91D3"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נדרש להציג 3 </w:t>
            </w:r>
            <w:r w:rsidR="00FE45C6" w:rsidRPr="00EF60AD">
              <w:rPr>
                <w:rFonts w:ascii="David" w:hAnsi="David" w:cs="David"/>
                <w:color w:val="000000"/>
                <w:szCs w:val="24"/>
                <w:rtl/>
                <w:lang w:eastAsia="en-US"/>
              </w:rPr>
              <w:t>פרויקטים</w:t>
            </w:r>
            <w:r w:rsidRPr="00EF60AD">
              <w:rPr>
                <w:rFonts w:ascii="David" w:hAnsi="David" w:cs="David"/>
                <w:color w:val="000000"/>
                <w:szCs w:val="24"/>
                <w:rtl/>
                <w:lang w:eastAsia="en-US"/>
              </w:rPr>
              <w:t xml:space="preserve"> בשלושה תחומים שונים על מנת לקבל את הניקוד.</w:t>
            </w:r>
          </w:p>
        </w:tc>
      </w:tr>
      <w:tr w:rsidR="00D65EC0" w:rsidRPr="00EF60AD" w14:paraId="68D941E4" w14:textId="77777777" w:rsidTr="003B2F06">
        <w:trPr>
          <w:trHeight w:val="660"/>
        </w:trPr>
        <w:tc>
          <w:tcPr>
            <w:tcW w:w="540" w:type="dxa"/>
            <w:noWrap/>
            <w:vAlign w:val="center"/>
            <w:hideMark/>
          </w:tcPr>
          <w:p w14:paraId="68010ABD" w14:textId="5A41BF5F"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49</w:t>
            </w:r>
          </w:p>
        </w:tc>
        <w:tc>
          <w:tcPr>
            <w:tcW w:w="565" w:type="dxa"/>
            <w:vAlign w:val="center"/>
            <w:hideMark/>
          </w:tcPr>
          <w:p w14:paraId="0B05DE16"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18</w:t>
            </w:r>
          </w:p>
        </w:tc>
        <w:tc>
          <w:tcPr>
            <w:tcW w:w="1183" w:type="dxa"/>
            <w:vAlign w:val="center"/>
            <w:hideMark/>
          </w:tcPr>
          <w:p w14:paraId="7B25BB45"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11.2.2, סל 3</w:t>
            </w:r>
          </w:p>
        </w:tc>
        <w:tc>
          <w:tcPr>
            <w:tcW w:w="4901" w:type="dxa"/>
            <w:hideMark/>
          </w:tcPr>
          <w:p w14:paraId="718E38A1"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מידענות - האם הניסיון מתייחס גם למגזר הציבורי וגם למגזר העסקי והמגזר השלישי?</w:t>
            </w:r>
          </w:p>
        </w:tc>
        <w:tc>
          <w:tcPr>
            <w:tcW w:w="2037" w:type="dxa"/>
            <w:noWrap/>
            <w:hideMark/>
          </w:tcPr>
          <w:p w14:paraId="781F6E59"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מגבלה לאיזה מגזר בוצעה העבודה במידענות.</w:t>
            </w:r>
          </w:p>
        </w:tc>
      </w:tr>
      <w:tr w:rsidR="00D65EC0" w:rsidRPr="00EF60AD" w14:paraId="694B7E99" w14:textId="77777777" w:rsidTr="003B2F06">
        <w:trPr>
          <w:trHeight w:val="660"/>
        </w:trPr>
        <w:tc>
          <w:tcPr>
            <w:tcW w:w="540" w:type="dxa"/>
            <w:noWrap/>
            <w:vAlign w:val="center"/>
            <w:hideMark/>
          </w:tcPr>
          <w:p w14:paraId="71C1C7E1" w14:textId="65D69553"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50</w:t>
            </w:r>
          </w:p>
        </w:tc>
        <w:tc>
          <w:tcPr>
            <w:tcW w:w="565" w:type="dxa"/>
            <w:vAlign w:val="center"/>
            <w:hideMark/>
          </w:tcPr>
          <w:p w14:paraId="321DECD7"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18</w:t>
            </w:r>
          </w:p>
        </w:tc>
        <w:tc>
          <w:tcPr>
            <w:tcW w:w="1183" w:type="dxa"/>
            <w:vAlign w:val="center"/>
            <w:hideMark/>
          </w:tcPr>
          <w:p w14:paraId="4113AF60"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11.2.3</w:t>
            </w:r>
          </w:p>
        </w:tc>
        <w:tc>
          <w:tcPr>
            <w:tcW w:w="4901" w:type="dxa"/>
            <w:hideMark/>
          </w:tcPr>
          <w:p w14:paraId="2B3BC35A"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מהם מועדי הראיונות המתוכננים? לאור דרישתכם שכלל חברי הצוות ינכחו בראיון וכיוון שמדובר באנשי מקצוע מומחים עם לו"ז מאתגר, נבקש לדעת מבעוד מועד 2-3 מועדי ראיונות אופציונליים על מנת שנוכל לכבד את בקשתכם לנוכחות מלאה.</w:t>
            </w:r>
          </w:p>
        </w:tc>
        <w:tc>
          <w:tcPr>
            <w:tcW w:w="2037" w:type="dxa"/>
            <w:noWrap/>
            <w:hideMark/>
          </w:tcPr>
          <w:p w14:paraId="2EC2267E" w14:textId="02256023"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מועדי הראיונות יקבעו לאחר בדיקת השלב הראשון ובחירת החברות שעוברות לשלב השני. </w:t>
            </w:r>
            <w:r w:rsidR="00FE45C6" w:rsidRPr="00EF60AD">
              <w:rPr>
                <w:rFonts w:ascii="David" w:hAnsi="David" w:cs="David"/>
                <w:color w:val="000000"/>
                <w:szCs w:val="24"/>
                <w:rtl/>
                <w:lang w:eastAsia="en-US"/>
              </w:rPr>
              <w:t>יינתן</w:t>
            </w:r>
            <w:r w:rsidRPr="00EF60AD">
              <w:rPr>
                <w:rFonts w:ascii="David" w:hAnsi="David" w:cs="David"/>
                <w:color w:val="000000"/>
                <w:szCs w:val="24"/>
                <w:rtl/>
                <w:lang w:eastAsia="en-US"/>
              </w:rPr>
              <w:t xml:space="preserve"> מספיק זמן התראה מראש. אך ככל הנראה מדובר על במהלך חודשי מרץ-אפריל</w:t>
            </w:r>
          </w:p>
        </w:tc>
      </w:tr>
      <w:tr w:rsidR="00D65EC0" w:rsidRPr="00EF60AD" w14:paraId="41A9B1DF" w14:textId="77777777" w:rsidTr="003B2F06">
        <w:trPr>
          <w:trHeight w:val="660"/>
        </w:trPr>
        <w:tc>
          <w:tcPr>
            <w:tcW w:w="540" w:type="dxa"/>
            <w:noWrap/>
            <w:vAlign w:val="center"/>
            <w:hideMark/>
          </w:tcPr>
          <w:p w14:paraId="104490B9" w14:textId="44FE728B"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51</w:t>
            </w:r>
          </w:p>
        </w:tc>
        <w:tc>
          <w:tcPr>
            <w:tcW w:w="565" w:type="dxa"/>
            <w:noWrap/>
            <w:vAlign w:val="center"/>
            <w:hideMark/>
          </w:tcPr>
          <w:p w14:paraId="3170B438"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19</w:t>
            </w:r>
          </w:p>
        </w:tc>
        <w:tc>
          <w:tcPr>
            <w:tcW w:w="1183" w:type="dxa"/>
            <w:vAlign w:val="center"/>
            <w:hideMark/>
          </w:tcPr>
          <w:p w14:paraId="4BBE85DC"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11.3</w:t>
            </w:r>
          </w:p>
        </w:tc>
        <w:tc>
          <w:tcPr>
            <w:tcW w:w="4901" w:type="dxa"/>
            <w:hideMark/>
          </w:tcPr>
          <w:p w14:paraId="672227A1" w14:textId="6AED4CF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על מנת שלא ליצור זילות במקצוע והחלת נוהג של "</w:t>
            </w:r>
            <w:r w:rsidR="00FE45C6" w:rsidRPr="00EF60AD">
              <w:rPr>
                <w:rFonts w:ascii="David" w:hAnsi="David" w:cs="David"/>
                <w:szCs w:val="24"/>
                <w:rtl/>
                <w:lang w:eastAsia="en-US"/>
              </w:rPr>
              <w:t>מרוץ</w:t>
            </w:r>
            <w:r w:rsidRPr="00EF60AD">
              <w:rPr>
                <w:rFonts w:ascii="David" w:hAnsi="David" w:cs="David"/>
                <w:szCs w:val="24"/>
                <w:rtl/>
                <w:lang w:eastAsia="en-US"/>
              </w:rPr>
              <w:t xml:space="preserve"> לתחתית" וכן להבטיח רמת שירות גבוהה, נבקש מן המשרד לקבוע תקרת גובה הנחה על מחירי </w:t>
            </w:r>
            <w:proofErr w:type="spellStart"/>
            <w:r w:rsidRPr="00EF60AD">
              <w:rPr>
                <w:rFonts w:ascii="David" w:hAnsi="David" w:cs="David"/>
                <w:szCs w:val="24"/>
                <w:rtl/>
                <w:lang w:eastAsia="en-US"/>
              </w:rPr>
              <w:t>החשכ"ל</w:t>
            </w:r>
            <w:proofErr w:type="spellEnd"/>
            <w:r w:rsidRPr="00EF60AD">
              <w:rPr>
                <w:rFonts w:ascii="David" w:hAnsi="David" w:cs="David"/>
                <w:szCs w:val="24"/>
                <w:rtl/>
                <w:lang w:eastAsia="en-US"/>
              </w:rPr>
              <w:t xml:space="preserve">.  </w:t>
            </w:r>
          </w:p>
        </w:tc>
        <w:tc>
          <w:tcPr>
            <w:tcW w:w="2037" w:type="dxa"/>
            <w:noWrap/>
            <w:hideMark/>
          </w:tcPr>
          <w:p w14:paraId="24573C1C"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7A3E41A8" w14:textId="77777777" w:rsidTr="003B2F06">
        <w:trPr>
          <w:trHeight w:val="1320"/>
        </w:trPr>
        <w:tc>
          <w:tcPr>
            <w:tcW w:w="540" w:type="dxa"/>
            <w:noWrap/>
            <w:vAlign w:val="center"/>
            <w:hideMark/>
          </w:tcPr>
          <w:p w14:paraId="26199E97" w14:textId="09D67006"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52</w:t>
            </w:r>
          </w:p>
        </w:tc>
        <w:tc>
          <w:tcPr>
            <w:tcW w:w="565" w:type="dxa"/>
            <w:noWrap/>
            <w:vAlign w:val="center"/>
            <w:hideMark/>
          </w:tcPr>
          <w:p w14:paraId="3FE5D3E2"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19</w:t>
            </w:r>
          </w:p>
        </w:tc>
        <w:tc>
          <w:tcPr>
            <w:tcW w:w="1183" w:type="dxa"/>
            <w:noWrap/>
            <w:vAlign w:val="center"/>
            <w:hideMark/>
          </w:tcPr>
          <w:p w14:paraId="6EFE5473"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11.3</w:t>
            </w:r>
          </w:p>
        </w:tc>
        <w:tc>
          <w:tcPr>
            <w:tcW w:w="4901" w:type="dxa"/>
            <w:hideMark/>
          </w:tcPr>
          <w:p w14:paraId="2DFAA754"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בסעיף 11 מצוין כי המציעים העומדים בתנאי הסף ידורגו על ידי המזמין, בחלוקה לפי הסל הרלוונטי, בהתאם לאמות המידה המפורטות להלן ולמשקלות שבצדם. </w:t>
            </w:r>
            <w:r w:rsidRPr="00EF60AD">
              <w:rPr>
                <w:rFonts w:ascii="David" w:hAnsi="David" w:cs="David"/>
                <w:szCs w:val="24"/>
                <w:rtl/>
                <w:lang w:eastAsia="en-US"/>
              </w:rPr>
              <w:br/>
              <w:t xml:space="preserve">בשלב ראשון , תבחן איכות ההצעה במשקל של 90% לפי כל סל בשלב השני, יבחן מרכיב המחיר במשקל 10%. כלומר, להבנתנו, לכל סל יש לתת הצעת מחיר נפרדת. עם זאת, בסעיף 11.3 נאמר כי הצעת המחיר תשמש להתקשרות על פי מוצר ד' בלבד – ייעוץ שעתי.  נשמח להבהרת המשרד האם לכל סל יש לתת הצעת מחיר? נודה להבהרה  בכל הנוגע להצעת המחיר. </w:t>
            </w:r>
          </w:p>
        </w:tc>
        <w:tc>
          <w:tcPr>
            <w:tcW w:w="2037" w:type="dxa"/>
            <w:noWrap/>
            <w:hideMark/>
          </w:tcPr>
          <w:p w14:paraId="03F21C8F" w14:textId="706ED92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יש להגיש הצעת מחיר אחת בלבד. </w:t>
            </w: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הצעת המחיר תשמש אך ורק להתקשרות לפי ייעוץ שעתי. </w:t>
            </w:r>
          </w:p>
        </w:tc>
      </w:tr>
      <w:tr w:rsidR="00D65EC0" w:rsidRPr="00EF60AD" w14:paraId="5B592728" w14:textId="77777777" w:rsidTr="003B2F06">
        <w:trPr>
          <w:trHeight w:val="660"/>
        </w:trPr>
        <w:tc>
          <w:tcPr>
            <w:tcW w:w="540" w:type="dxa"/>
            <w:noWrap/>
            <w:vAlign w:val="center"/>
            <w:hideMark/>
          </w:tcPr>
          <w:p w14:paraId="4169D493" w14:textId="0B622029"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53</w:t>
            </w:r>
          </w:p>
        </w:tc>
        <w:tc>
          <w:tcPr>
            <w:tcW w:w="565" w:type="dxa"/>
            <w:vAlign w:val="center"/>
            <w:hideMark/>
          </w:tcPr>
          <w:p w14:paraId="140CDFB3"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20</w:t>
            </w:r>
          </w:p>
        </w:tc>
        <w:tc>
          <w:tcPr>
            <w:tcW w:w="1183" w:type="dxa"/>
            <w:noWrap/>
            <w:vAlign w:val="center"/>
            <w:hideMark/>
          </w:tcPr>
          <w:p w14:paraId="4CEE96C4"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11.4</w:t>
            </w:r>
          </w:p>
        </w:tc>
        <w:tc>
          <w:tcPr>
            <w:tcW w:w="4901" w:type="dxa"/>
            <w:hideMark/>
          </w:tcPr>
          <w:p w14:paraId="781AB4A4"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במידה ואותה חברה מציעה את עצמה ל-2 סלים (ייעוץ אסטרטגי וייעוץ כלכלי), האם יש להגיש הצעה </w:t>
            </w:r>
            <w:r w:rsidRPr="00EF60AD">
              <w:rPr>
                <w:rFonts w:ascii="David" w:hAnsi="David" w:cs="David"/>
                <w:szCs w:val="24"/>
                <w:rtl/>
                <w:lang w:eastAsia="en-US"/>
              </w:rPr>
              <w:lastRenderedPageBreak/>
              <w:t>משולבת או נפרדת עבור כל סל? האם יתבצעו 2 ראיונות נפרדים?</w:t>
            </w:r>
          </w:p>
        </w:tc>
        <w:tc>
          <w:tcPr>
            <w:tcW w:w="2037" w:type="dxa"/>
            <w:noWrap/>
            <w:hideMark/>
          </w:tcPr>
          <w:p w14:paraId="3390F6CF" w14:textId="26A30820"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lastRenderedPageBreak/>
              <w:t> </w:t>
            </w:r>
            <w:r w:rsidRPr="00EF60AD">
              <w:rPr>
                <w:rFonts w:ascii="David" w:hAnsi="David" w:cs="David"/>
                <w:color w:val="000000"/>
                <w:szCs w:val="24"/>
                <w:rtl/>
                <w:lang w:eastAsia="en-US"/>
              </w:rPr>
              <w:t xml:space="preserve">החברה נדרשת להגיש הצעה נפרדת עבור כל </w:t>
            </w:r>
            <w:r w:rsidRPr="00EF60AD">
              <w:rPr>
                <w:rFonts w:ascii="David" w:hAnsi="David" w:cs="David"/>
                <w:color w:val="000000"/>
                <w:szCs w:val="24"/>
                <w:rtl/>
                <w:lang w:eastAsia="en-US"/>
              </w:rPr>
              <w:lastRenderedPageBreak/>
              <w:t>סל ואכן יתקיימו שני ראיונות נפרדים.</w:t>
            </w:r>
          </w:p>
        </w:tc>
      </w:tr>
      <w:tr w:rsidR="00D65EC0" w:rsidRPr="00EF60AD" w14:paraId="63A8F11E" w14:textId="77777777" w:rsidTr="003B2F06">
        <w:trPr>
          <w:trHeight w:val="660"/>
        </w:trPr>
        <w:tc>
          <w:tcPr>
            <w:tcW w:w="540" w:type="dxa"/>
            <w:noWrap/>
            <w:vAlign w:val="center"/>
            <w:hideMark/>
          </w:tcPr>
          <w:p w14:paraId="06402012" w14:textId="7C811643"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54</w:t>
            </w:r>
          </w:p>
        </w:tc>
        <w:tc>
          <w:tcPr>
            <w:tcW w:w="565" w:type="dxa"/>
            <w:noWrap/>
            <w:vAlign w:val="center"/>
            <w:hideMark/>
          </w:tcPr>
          <w:p w14:paraId="651B13A6"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22</w:t>
            </w:r>
          </w:p>
        </w:tc>
        <w:tc>
          <w:tcPr>
            <w:tcW w:w="1183" w:type="dxa"/>
            <w:noWrap/>
            <w:vAlign w:val="center"/>
            <w:hideMark/>
          </w:tcPr>
          <w:p w14:paraId="5ACDC196"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12.1.6</w:t>
            </w:r>
          </w:p>
        </w:tc>
        <w:tc>
          <w:tcPr>
            <w:tcW w:w="4901" w:type="dxa"/>
            <w:hideMark/>
          </w:tcPr>
          <w:p w14:paraId="2288821E"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סעיף 12.1.6 מפרט את שלב בדיקת הצעת המחיר עבור בחירת זוכה לביצוע עבודה ספציפית. האם בשלב זה נלקח בחשבון אחוז ההנחה שניתן בשלב בחירת הספקים הזוכים למכרז המסגרת, או רק העלות הכוללת אשר הוצעה מטעם החברה עבור הפרויקט המסוים שעל הפרק?  </w:t>
            </w:r>
          </w:p>
        </w:tc>
        <w:tc>
          <w:tcPr>
            <w:tcW w:w="2037" w:type="dxa"/>
            <w:noWrap/>
            <w:hideMark/>
          </w:tcPr>
          <w:p w14:paraId="69F47E94"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לא נלקח בשלב זה אחוז ההנחה, אלא רק העלות הכוללת עבור הפרויקט המסוים כפי שתוצע על ידי הספק לביצוע העבודה הספציפית. .</w:t>
            </w:r>
            <w:r w:rsidRPr="00EF60AD">
              <w:rPr>
                <w:rFonts w:ascii="David" w:hAnsi="David" w:cs="David"/>
                <w:color w:val="000000"/>
                <w:szCs w:val="24"/>
                <w:lang w:eastAsia="en-US"/>
              </w:rPr>
              <w:t> </w:t>
            </w:r>
          </w:p>
        </w:tc>
      </w:tr>
      <w:tr w:rsidR="00D65EC0" w:rsidRPr="00EF60AD" w14:paraId="4852B577" w14:textId="77777777" w:rsidTr="003B2F06">
        <w:trPr>
          <w:trHeight w:val="660"/>
        </w:trPr>
        <w:tc>
          <w:tcPr>
            <w:tcW w:w="540" w:type="dxa"/>
            <w:noWrap/>
            <w:vAlign w:val="center"/>
            <w:hideMark/>
          </w:tcPr>
          <w:p w14:paraId="633707AE" w14:textId="57B12183"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55</w:t>
            </w:r>
          </w:p>
        </w:tc>
        <w:tc>
          <w:tcPr>
            <w:tcW w:w="565" w:type="dxa"/>
            <w:vAlign w:val="center"/>
            <w:hideMark/>
          </w:tcPr>
          <w:p w14:paraId="512E7ABF"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23</w:t>
            </w:r>
          </w:p>
        </w:tc>
        <w:tc>
          <w:tcPr>
            <w:tcW w:w="1183" w:type="dxa"/>
            <w:vAlign w:val="center"/>
            <w:hideMark/>
          </w:tcPr>
          <w:p w14:paraId="7F27D7BC"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12.1.8</w:t>
            </w:r>
          </w:p>
        </w:tc>
        <w:tc>
          <w:tcPr>
            <w:tcW w:w="4901" w:type="dxa"/>
            <w:hideMark/>
          </w:tcPr>
          <w:p w14:paraId="368C4C25" w14:textId="3E8E9E2E"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אנא אישורכם שיוחרגו מקרים בהם לספק ניגוד עניינים כפי שמצוין ב 10, </w:t>
            </w:r>
          </w:p>
        </w:tc>
        <w:tc>
          <w:tcPr>
            <w:tcW w:w="2037" w:type="dxa"/>
            <w:noWrap/>
            <w:hideMark/>
          </w:tcPr>
          <w:p w14:paraId="3F52033B" w14:textId="4C0AAEF5"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ככל שניגוד העניינים הוצג למזמין והוא אישר למציע לבצע את העבודה, כאמור בסעיף 12.1.3.5 מקרה כאמור, לא יספר לצורך סעיף זה.</w:t>
            </w:r>
          </w:p>
        </w:tc>
      </w:tr>
      <w:tr w:rsidR="00D65EC0" w:rsidRPr="00EF60AD" w14:paraId="25A71051" w14:textId="77777777" w:rsidTr="003B2F06">
        <w:trPr>
          <w:trHeight w:val="1320"/>
        </w:trPr>
        <w:tc>
          <w:tcPr>
            <w:tcW w:w="540" w:type="dxa"/>
            <w:noWrap/>
            <w:vAlign w:val="center"/>
            <w:hideMark/>
          </w:tcPr>
          <w:p w14:paraId="28087790" w14:textId="0ABDB60B"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56</w:t>
            </w:r>
          </w:p>
        </w:tc>
        <w:tc>
          <w:tcPr>
            <w:tcW w:w="565" w:type="dxa"/>
            <w:noWrap/>
            <w:vAlign w:val="center"/>
            <w:hideMark/>
          </w:tcPr>
          <w:p w14:paraId="67DFA747"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23</w:t>
            </w:r>
          </w:p>
        </w:tc>
        <w:tc>
          <w:tcPr>
            <w:tcW w:w="1183" w:type="dxa"/>
            <w:noWrap/>
            <w:vAlign w:val="center"/>
            <w:hideMark/>
          </w:tcPr>
          <w:p w14:paraId="0A213214"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12.1.8</w:t>
            </w:r>
          </w:p>
        </w:tc>
        <w:tc>
          <w:tcPr>
            <w:tcW w:w="4901" w:type="dxa"/>
            <w:hideMark/>
          </w:tcPr>
          <w:p w14:paraId="368AD03B"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נכתב </w:t>
            </w:r>
            <w:r w:rsidRPr="00EF60AD">
              <w:rPr>
                <w:rFonts w:ascii="David" w:hAnsi="David" w:cs="David"/>
                <w:i/>
                <w:iCs/>
                <w:szCs w:val="24"/>
                <w:rtl/>
                <w:lang w:eastAsia="en-US"/>
              </w:rPr>
              <w:t>"עבור כל פעם שספק לא הגיש הצעה להצעת עבודה שנשלחה אליו יופחתו מניקוד ההצעות הבאות שלו באותה שנה 4 נקודות מסעיף הזמינות. ספק שלא הגיש הצעה יותר מ-4 פעמים רשאי המזמין להוציאו מרשימת ספקי מכרז המסגרת".</w:t>
            </w:r>
            <w:r w:rsidRPr="00EF60AD">
              <w:rPr>
                <w:rFonts w:ascii="David" w:hAnsi="David" w:cs="David"/>
                <w:szCs w:val="24"/>
                <w:rtl/>
                <w:lang w:eastAsia="en-US"/>
              </w:rPr>
              <w:t xml:space="preserve"> ברצוננו לשאול האם הורדת הניקוד עבור הצעות עתידיות תתרחש במסגרת כל סל בנפרד (אסטרטגי/ כלכלי / מידענות), או שמא אי הגשת הצעת עבודה במסגרת סל אחד תשפיע על הניקוד עבור סל אחר? (לדוגמא, האם אי הגשת הצעת עבודה במסגרת סל המידענות תפגע בניקוד החברה עבור הצעות עתידיות במסגרת הסל האסטרטגי?)  </w:t>
            </w:r>
          </w:p>
        </w:tc>
        <w:tc>
          <w:tcPr>
            <w:tcW w:w="2037" w:type="dxa"/>
            <w:noWrap/>
            <w:hideMark/>
          </w:tcPr>
          <w:p w14:paraId="06632C4C"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אם החברה זכתה בכמה סלים סעיף זה יכול על כלל הסלים בה היא זכתה.</w:t>
            </w:r>
          </w:p>
        </w:tc>
      </w:tr>
      <w:tr w:rsidR="00D65EC0" w:rsidRPr="00EF60AD" w14:paraId="2F5A6992" w14:textId="77777777" w:rsidTr="003B2F06">
        <w:trPr>
          <w:trHeight w:val="1320"/>
        </w:trPr>
        <w:tc>
          <w:tcPr>
            <w:tcW w:w="540" w:type="dxa"/>
            <w:noWrap/>
            <w:vAlign w:val="center"/>
            <w:hideMark/>
          </w:tcPr>
          <w:p w14:paraId="1529A974" w14:textId="5B7DD05E"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57</w:t>
            </w:r>
          </w:p>
        </w:tc>
        <w:tc>
          <w:tcPr>
            <w:tcW w:w="565" w:type="dxa"/>
            <w:vAlign w:val="center"/>
            <w:hideMark/>
          </w:tcPr>
          <w:p w14:paraId="7A567931"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23</w:t>
            </w:r>
          </w:p>
        </w:tc>
        <w:tc>
          <w:tcPr>
            <w:tcW w:w="1183" w:type="dxa"/>
            <w:vAlign w:val="center"/>
            <w:hideMark/>
          </w:tcPr>
          <w:p w14:paraId="62743387"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12.2.3</w:t>
            </w:r>
          </w:p>
        </w:tc>
        <w:tc>
          <w:tcPr>
            <w:tcW w:w="4901" w:type="dxa"/>
            <w:hideMark/>
          </w:tcPr>
          <w:p w14:paraId="1EE99D15"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לוח זמנים של יומיים להגשת הצעה אינו סביר, אינו מקובל ובמידה ויתבצע יגרע משמעותית מאיכות ההצעה ומיכולת המשרד להשוות הצעות. בניית הצעת עבודה מחייבת אינטראקציה עם המשרד כמזמין העבודה (תלות בזמינות ופניות אנשי צוות שונים במשרדכם), חיבור ואיתור ניסיון בעולם וזמינות מצד המומחים השונים בעולם (מומחים </w:t>
            </w:r>
            <w:proofErr w:type="spellStart"/>
            <w:r w:rsidRPr="00EF60AD">
              <w:rPr>
                <w:rFonts w:ascii="David" w:hAnsi="David" w:cs="David"/>
                <w:szCs w:val="24"/>
                <w:rtl/>
                <w:lang w:eastAsia="en-US"/>
              </w:rPr>
              <w:t>אמיתיים</w:t>
            </w:r>
            <w:proofErr w:type="spellEnd"/>
            <w:r w:rsidRPr="00EF60AD">
              <w:rPr>
                <w:rFonts w:ascii="David" w:hAnsi="David" w:cs="David"/>
                <w:szCs w:val="24"/>
                <w:rtl/>
                <w:lang w:eastAsia="en-US"/>
              </w:rPr>
              <w:t xml:space="preserve"> לא זמינים בהתראה של שעות בודדות) </w:t>
            </w:r>
            <w:proofErr w:type="spellStart"/>
            <w:r w:rsidRPr="00EF60AD">
              <w:rPr>
                <w:rFonts w:ascii="David" w:hAnsi="David" w:cs="David"/>
                <w:szCs w:val="24"/>
                <w:rtl/>
                <w:lang w:eastAsia="en-US"/>
              </w:rPr>
              <w:t>וכו</w:t>
            </w:r>
            <w:proofErr w:type="spellEnd"/>
            <w:r w:rsidRPr="00EF60AD">
              <w:rPr>
                <w:rFonts w:ascii="David" w:hAnsi="David" w:cs="David"/>
                <w:szCs w:val="24"/>
                <w:rtl/>
                <w:lang w:eastAsia="en-US"/>
              </w:rPr>
              <w:t xml:space="preserve">', על כן אנו מבקשים לשנות את מועד ההגשה ללפחות 8 </w:t>
            </w:r>
            <w:r w:rsidRPr="00EF60AD">
              <w:rPr>
                <w:rFonts w:ascii="David" w:hAnsi="David" w:cs="David"/>
                <w:szCs w:val="24"/>
                <w:rtl/>
                <w:lang w:eastAsia="en-US"/>
              </w:rPr>
              <w:lastRenderedPageBreak/>
              <w:t xml:space="preserve">ימי עסקים מיום קבלת הבקשה להצעת העבודה בכתב ובע"פ. </w:t>
            </w:r>
          </w:p>
        </w:tc>
        <w:tc>
          <w:tcPr>
            <w:tcW w:w="2037" w:type="dxa"/>
            <w:noWrap/>
            <w:hideMark/>
          </w:tcPr>
          <w:p w14:paraId="033BFCB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lastRenderedPageBreak/>
              <w:t> </w:t>
            </w:r>
            <w:r w:rsidRPr="00EF60AD">
              <w:rPr>
                <w:rFonts w:ascii="David" w:hAnsi="David" w:cs="David"/>
                <w:color w:val="000000"/>
                <w:szCs w:val="24"/>
                <w:rtl/>
                <w:lang w:eastAsia="en-US"/>
              </w:rPr>
              <w:t>המשך יוארך ל 5 ימי עסקים. מסמכי המכרז יתוקנו.</w:t>
            </w:r>
          </w:p>
        </w:tc>
      </w:tr>
      <w:tr w:rsidR="00D65EC0" w:rsidRPr="00EF60AD" w14:paraId="02BF209C" w14:textId="77777777" w:rsidTr="003B2F06">
        <w:trPr>
          <w:trHeight w:val="330"/>
        </w:trPr>
        <w:tc>
          <w:tcPr>
            <w:tcW w:w="540" w:type="dxa"/>
            <w:noWrap/>
            <w:vAlign w:val="center"/>
            <w:hideMark/>
          </w:tcPr>
          <w:p w14:paraId="3A90DA43" w14:textId="5AF36869"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58</w:t>
            </w:r>
          </w:p>
        </w:tc>
        <w:tc>
          <w:tcPr>
            <w:tcW w:w="565" w:type="dxa"/>
            <w:noWrap/>
            <w:vAlign w:val="center"/>
            <w:hideMark/>
          </w:tcPr>
          <w:p w14:paraId="62120D1C"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23</w:t>
            </w:r>
          </w:p>
        </w:tc>
        <w:tc>
          <w:tcPr>
            <w:tcW w:w="1183" w:type="dxa"/>
            <w:vAlign w:val="center"/>
            <w:hideMark/>
          </w:tcPr>
          <w:p w14:paraId="698DE407"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12.2.5.1.1</w:t>
            </w:r>
          </w:p>
        </w:tc>
        <w:tc>
          <w:tcPr>
            <w:tcW w:w="4901" w:type="dxa"/>
            <w:hideMark/>
          </w:tcPr>
          <w:p w14:paraId="0371E03A"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להבהיר מדוע מציע שטרם ביצע עבודות במסגרת המכרז יקבל רק 7.5 נק' עבור הזמינות המהווה סה"כ 8 נקודות</w:t>
            </w:r>
          </w:p>
        </w:tc>
        <w:tc>
          <w:tcPr>
            <w:tcW w:w="2037" w:type="dxa"/>
            <w:noWrap/>
            <w:hideMark/>
          </w:tcPr>
          <w:p w14:paraId="42B3B1F7"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מדובר בטעות סופר, מציע שטרם ביצע יקבל 8 נקודות. מסמכי המכרז יתוקנו.</w:t>
            </w:r>
          </w:p>
        </w:tc>
      </w:tr>
      <w:tr w:rsidR="00D65EC0" w:rsidRPr="00EF60AD" w14:paraId="2D40C42D" w14:textId="77777777" w:rsidTr="003B2F06">
        <w:trPr>
          <w:trHeight w:val="1320"/>
        </w:trPr>
        <w:tc>
          <w:tcPr>
            <w:tcW w:w="540" w:type="dxa"/>
            <w:noWrap/>
            <w:vAlign w:val="center"/>
            <w:hideMark/>
          </w:tcPr>
          <w:p w14:paraId="7952A5E8" w14:textId="6877942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59</w:t>
            </w:r>
          </w:p>
        </w:tc>
        <w:tc>
          <w:tcPr>
            <w:tcW w:w="565" w:type="dxa"/>
            <w:noWrap/>
            <w:vAlign w:val="center"/>
            <w:hideMark/>
          </w:tcPr>
          <w:p w14:paraId="72B3C00C"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23</w:t>
            </w:r>
          </w:p>
        </w:tc>
        <w:tc>
          <w:tcPr>
            <w:tcW w:w="1183" w:type="dxa"/>
            <w:vAlign w:val="center"/>
            <w:hideMark/>
          </w:tcPr>
          <w:p w14:paraId="74DB8C8F"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12.2.7 12.1.8</w:t>
            </w:r>
          </w:p>
        </w:tc>
        <w:tc>
          <w:tcPr>
            <w:tcW w:w="4901" w:type="dxa"/>
            <w:hideMark/>
          </w:tcPr>
          <w:p w14:paraId="25AC4210"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להוריד סעיף זה או לחילופין לכתוב כי הספק מתחייב לעשות ככל הניתן על מנת להגיש הצעת עבודה לפנייה שקיבל מהמזמין. אי הגשת הצעה לפנייה כאמור, כאשר היא מלווה בסיבה סבירה המתקבלת על הדעת, לא תגרום להפחתת ניקוד אצל הספק ולא תספק במניין ההצעות שלא הוגשו.</w:t>
            </w:r>
            <w:r w:rsidRPr="00EF60AD">
              <w:rPr>
                <w:rFonts w:ascii="David" w:hAnsi="David" w:cs="David"/>
                <w:szCs w:val="24"/>
                <w:rtl/>
                <w:lang w:eastAsia="en-US"/>
              </w:rPr>
              <w:br/>
              <w:t>בכל מקרה, אם החליט המזמין להוריד ניקוד, אנו מבקשים להוריד חצי נקודה  ולא ארבע נקודות</w:t>
            </w:r>
          </w:p>
        </w:tc>
        <w:tc>
          <w:tcPr>
            <w:tcW w:w="2037" w:type="dxa"/>
            <w:noWrap/>
            <w:hideMark/>
          </w:tcPr>
          <w:p w14:paraId="5C6F19E1"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יש צפייה כי חברות שיזכו במכרז המסגרת יגישו הצעה לכל פרויקט אלא במקרים חריגים מאוד.</w:t>
            </w:r>
          </w:p>
        </w:tc>
      </w:tr>
      <w:tr w:rsidR="00D65EC0" w:rsidRPr="00EF60AD" w14:paraId="70AA7399" w14:textId="77777777" w:rsidTr="003B2F06">
        <w:trPr>
          <w:trHeight w:val="330"/>
        </w:trPr>
        <w:tc>
          <w:tcPr>
            <w:tcW w:w="540" w:type="dxa"/>
            <w:noWrap/>
            <w:vAlign w:val="center"/>
            <w:hideMark/>
          </w:tcPr>
          <w:p w14:paraId="28B2BA5B" w14:textId="526D6156"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60</w:t>
            </w:r>
          </w:p>
        </w:tc>
        <w:tc>
          <w:tcPr>
            <w:tcW w:w="565" w:type="dxa"/>
            <w:noWrap/>
            <w:vAlign w:val="center"/>
            <w:hideMark/>
          </w:tcPr>
          <w:p w14:paraId="6BA3FDE3"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25</w:t>
            </w:r>
          </w:p>
        </w:tc>
        <w:tc>
          <w:tcPr>
            <w:tcW w:w="1183" w:type="dxa"/>
            <w:vAlign w:val="center"/>
            <w:hideMark/>
          </w:tcPr>
          <w:p w14:paraId="0D4FDC96"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12.3.5.1</w:t>
            </w:r>
          </w:p>
        </w:tc>
        <w:tc>
          <w:tcPr>
            <w:tcW w:w="4901" w:type="dxa"/>
            <w:hideMark/>
          </w:tcPr>
          <w:p w14:paraId="4BCE285B"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להבהיר כי מציע שטרם הגיש הצעותיו במסגרת המאגר יקבל את מלוא הנקודות עבור שביעות רצון מהעבודות ומהצוות וכן גם לגבי סעיף הזמינות</w:t>
            </w:r>
          </w:p>
        </w:tc>
        <w:tc>
          <w:tcPr>
            <w:tcW w:w="2037" w:type="dxa"/>
            <w:noWrap/>
            <w:hideMark/>
          </w:tcPr>
          <w:p w14:paraId="3EEEF7EF"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אכן כך.</w:t>
            </w:r>
          </w:p>
        </w:tc>
      </w:tr>
      <w:tr w:rsidR="00D65EC0" w:rsidRPr="00EF60AD" w14:paraId="5576B293" w14:textId="77777777" w:rsidTr="003B2F06">
        <w:trPr>
          <w:trHeight w:val="330"/>
        </w:trPr>
        <w:tc>
          <w:tcPr>
            <w:tcW w:w="540" w:type="dxa"/>
            <w:noWrap/>
            <w:vAlign w:val="center"/>
            <w:hideMark/>
          </w:tcPr>
          <w:p w14:paraId="5621A460" w14:textId="1FAD6A02"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61</w:t>
            </w:r>
          </w:p>
        </w:tc>
        <w:tc>
          <w:tcPr>
            <w:tcW w:w="565" w:type="dxa"/>
            <w:vAlign w:val="center"/>
            <w:hideMark/>
          </w:tcPr>
          <w:p w14:paraId="63ABD103"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26</w:t>
            </w:r>
          </w:p>
        </w:tc>
        <w:tc>
          <w:tcPr>
            <w:tcW w:w="1183" w:type="dxa"/>
            <w:vAlign w:val="center"/>
            <w:hideMark/>
          </w:tcPr>
          <w:p w14:paraId="517E4DA2"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13.1</w:t>
            </w:r>
          </w:p>
        </w:tc>
        <w:tc>
          <w:tcPr>
            <w:tcW w:w="4901" w:type="dxa"/>
            <w:hideMark/>
          </w:tcPr>
          <w:p w14:paraId="75752F1E"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לאור תלות בזמינות של גורמים חיצוניים כגון בנקים </w:t>
            </w:r>
            <w:proofErr w:type="spellStart"/>
            <w:r w:rsidRPr="00EF60AD">
              <w:rPr>
                <w:rFonts w:ascii="David" w:hAnsi="David" w:cs="David"/>
                <w:szCs w:val="24"/>
                <w:rtl/>
                <w:lang w:eastAsia="en-US"/>
              </w:rPr>
              <w:t>וכו</w:t>
            </w:r>
            <w:proofErr w:type="spellEnd"/>
            <w:r w:rsidRPr="00EF60AD">
              <w:rPr>
                <w:rFonts w:ascii="David" w:hAnsi="David" w:cs="David"/>
                <w:szCs w:val="24"/>
                <w:rtl/>
                <w:lang w:eastAsia="en-US"/>
              </w:rPr>
              <w:t>', נבקש להאריך את משך הזמן להעברת המסמכים ל-12 ימי עבודה</w:t>
            </w:r>
          </w:p>
        </w:tc>
        <w:tc>
          <w:tcPr>
            <w:tcW w:w="2037" w:type="dxa"/>
            <w:noWrap/>
            <w:hideMark/>
          </w:tcPr>
          <w:p w14:paraId="2B9D87FD"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2FAEFEEC" w14:textId="77777777" w:rsidTr="003B2F06">
        <w:trPr>
          <w:trHeight w:val="330"/>
        </w:trPr>
        <w:tc>
          <w:tcPr>
            <w:tcW w:w="540" w:type="dxa"/>
            <w:noWrap/>
            <w:vAlign w:val="center"/>
            <w:hideMark/>
          </w:tcPr>
          <w:p w14:paraId="45AD9E0C" w14:textId="592C5714"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62</w:t>
            </w:r>
          </w:p>
        </w:tc>
        <w:tc>
          <w:tcPr>
            <w:tcW w:w="565" w:type="dxa"/>
            <w:noWrap/>
            <w:vAlign w:val="center"/>
            <w:hideMark/>
          </w:tcPr>
          <w:p w14:paraId="30951ABC"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26</w:t>
            </w:r>
          </w:p>
        </w:tc>
        <w:tc>
          <w:tcPr>
            <w:tcW w:w="1183" w:type="dxa"/>
            <w:vAlign w:val="center"/>
            <w:hideMark/>
          </w:tcPr>
          <w:p w14:paraId="632F791C"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14</w:t>
            </w:r>
          </w:p>
        </w:tc>
        <w:tc>
          <w:tcPr>
            <w:tcW w:w="4901" w:type="dxa"/>
            <w:hideMark/>
          </w:tcPr>
          <w:p w14:paraId="2F4606B5"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נבקש להוריד את גובה ערבות ההצעה למכרז </w:t>
            </w:r>
          </w:p>
        </w:tc>
        <w:tc>
          <w:tcPr>
            <w:tcW w:w="2037" w:type="dxa"/>
            <w:noWrap/>
            <w:hideMark/>
          </w:tcPr>
          <w:p w14:paraId="2C7C17EF"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2C8E07D1" w14:textId="77777777" w:rsidTr="003B2F06">
        <w:trPr>
          <w:trHeight w:val="990"/>
        </w:trPr>
        <w:tc>
          <w:tcPr>
            <w:tcW w:w="540" w:type="dxa"/>
            <w:noWrap/>
            <w:vAlign w:val="center"/>
            <w:hideMark/>
          </w:tcPr>
          <w:p w14:paraId="67766811" w14:textId="757B25C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63</w:t>
            </w:r>
          </w:p>
        </w:tc>
        <w:tc>
          <w:tcPr>
            <w:tcW w:w="565" w:type="dxa"/>
            <w:noWrap/>
            <w:vAlign w:val="center"/>
            <w:hideMark/>
          </w:tcPr>
          <w:p w14:paraId="44834731"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26</w:t>
            </w:r>
          </w:p>
        </w:tc>
        <w:tc>
          <w:tcPr>
            <w:tcW w:w="1183" w:type="dxa"/>
            <w:noWrap/>
            <w:vAlign w:val="center"/>
            <w:hideMark/>
          </w:tcPr>
          <w:p w14:paraId="7B4EF5AB"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14.1.2</w:t>
            </w:r>
          </w:p>
        </w:tc>
        <w:tc>
          <w:tcPr>
            <w:tcW w:w="4901" w:type="dxa"/>
            <w:hideMark/>
          </w:tcPr>
          <w:p w14:paraId="1F339D48"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1.       בסעיף 14.1.2 נכתב כי "גובה ערבות השתתפות במכרז יהא 50,000 ₪, והיא תעמוד בתוקף מיום הגשת ההצעה ולתקופה של 90 יום לאחר מכן", ואילו בסעיף 7.1.5 נכתב כי ערבות ההשתתפות במכרז עומדת על סך של "20,000 ש"ח, בתוקף מהמועד האחרון להגשת הצעות ועד ליום 21 בפברואר 2019". נבקש לשאול מהו גובה הערבות הנדרש להשתתפות במכרז וכן מהו אורך תוקפה של הערבות?  </w:t>
            </w:r>
          </w:p>
        </w:tc>
        <w:tc>
          <w:tcPr>
            <w:tcW w:w="2037" w:type="dxa"/>
            <w:noWrap/>
            <w:hideMark/>
          </w:tcPr>
          <w:p w14:paraId="1A2585E3"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הערבות הנדרשת היא 20,000 ש"ח. ונדרשת לכל תקופת ההתקשרות.</w:t>
            </w:r>
          </w:p>
        </w:tc>
      </w:tr>
      <w:tr w:rsidR="00D65EC0" w:rsidRPr="00EF60AD" w14:paraId="67F37589" w14:textId="77777777" w:rsidTr="003B2F06">
        <w:trPr>
          <w:trHeight w:val="330"/>
        </w:trPr>
        <w:tc>
          <w:tcPr>
            <w:tcW w:w="540" w:type="dxa"/>
            <w:noWrap/>
            <w:vAlign w:val="center"/>
            <w:hideMark/>
          </w:tcPr>
          <w:p w14:paraId="5FCEB929" w14:textId="3A59A398"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64</w:t>
            </w:r>
          </w:p>
        </w:tc>
        <w:tc>
          <w:tcPr>
            <w:tcW w:w="565" w:type="dxa"/>
            <w:vAlign w:val="center"/>
            <w:hideMark/>
          </w:tcPr>
          <w:p w14:paraId="18A24ABD"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26</w:t>
            </w:r>
          </w:p>
        </w:tc>
        <w:tc>
          <w:tcPr>
            <w:tcW w:w="1183" w:type="dxa"/>
            <w:vAlign w:val="center"/>
            <w:hideMark/>
          </w:tcPr>
          <w:p w14:paraId="2519FD45"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14.1.3</w:t>
            </w:r>
          </w:p>
        </w:tc>
        <w:tc>
          <w:tcPr>
            <w:tcW w:w="4901" w:type="dxa"/>
            <w:hideMark/>
          </w:tcPr>
          <w:p w14:paraId="7115F3EA"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בטרם תחולט הערבות, נא לאפשר למציע זכות טיעון.</w:t>
            </w:r>
          </w:p>
        </w:tc>
        <w:tc>
          <w:tcPr>
            <w:tcW w:w="2037" w:type="dxa"/>
            <w:noWrap/>
            <w:hideMark/>
          </w:tcPr>
          <w:p w14:paraId="723B4C8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המזמין יאפשר לזוכה הרלוונטי לטעון בפניו בטרם חילוט הערבות</w:t>
            </w:r>
          </w:p>
        </w:tc>
      </w:tr>
      <w:tr w:rsidR="00D65EC0" w:rsidRPr="00EF60AD" w14:paraId="0E65B354" w14:textId="77777777" w:rsidTr="003B2F06">
        <w:trPr>
          <w:trHeight w:val="660"/>
        </w:trPr>
        <w:tc>
          <w:tcPr>
            <w:tcW w:w="540" w:type="dxa"/>
            <w:noWrap/>
            <w:vAlign w:val="center"/>
            <w:hideMark/>
          </w:tcPr>
          <w:p w14:paraId="01F10647" w14:textId="5C989DDE"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65</w:t>
            </w:r>
          </w:p>
        </w:tc>
        <w:tc>
          <w:tcPr>
            <w:tcW w:w="565" w:type="dxa"/>
            <w:noWrap/>
            <w:vAlign w:val="center"/>
            <w:hideMark/>
          </w:tcPr>
          <w:p w14:paraId="168A8ECA"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27</w:t>
            </w:r>
          </w:p>
        </w:tc>
        <w:tc>
          <w:tcPr>
            <w:tcW w:w="1183" w:type="dxa"/>
            <w:noWrap/>
            <w:vAlign w:val="center"/>
            <w:hideMark/>
          </w:tcPr>
          <w:p w14:paraId="5C948951"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14.2</w:t>
            </w:r>
          </w:p>
        </w:tc>
        <w:tc>
          <w:tcPr>
            <w:tcW w:w="4901" w:type="dxa"/>
            <w:hideMark/>
          </w:tcPr>
          <w:p w14:paraId="4964C02B"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ערבות ביצוע 20,000 :₪  ככל שערבות הצעה למכרז לא תבוטל כאמור, מבוקש בזאת לקבוע כי תבוטל ותוחזר למציע ערבות הצעתו במועד קבלת הזמנת </w:t>
            </w:r>
            <w:r w:rsidRPr="00EF60AD">
              <w:rPr>
                <w:rFonts w:ascii="David" w:hAnsi="David" w:cs="David"/>
                <w:szCs w:val="24"/>
                <w:rtl/>
                <w:lang w:eastAsia="en-US"/>
              </w:rPr>
              <w:lastRenderedPageBreak/>
              <w:t>עבודה  ספציפית כזוכה ממאגר המציעים, והעמדת ערבות הביצוע שלו בהתאם.</w:t>
            </w:r>
          </w:p>
        </w:tc>
        <w:tc>
          <w:tcPr>
            <w:tcW w:w="2037" w:type="dxa"/>
            <w:noWrap/>
            <w:hideMark/>
          </w:tcPr>
          <w:p w14:paraId="392CFFFF"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lastRenderedPageBreak/>
              <w:t xml:space="preserve">ערבות הביצוע מחליפה את ערבות ההצעה </w:t>
            </w:r>
            <w:r w:rsidRPr="00EF60AD">
              <w:rPr>
                <w:rFonts w:ascii="David" w:hAnsi="David" w:cs="David"/>
                <w:color w:val="000000"/>
                <w:szCs w:val="24"/>
                <w:rtl/>
                <w:lang w:eastAsia="en-US"/>
              </w:rPr>
              <w:lastRenderedPageBreak/>
              <w:t xml:space="preserve">שהגישו המציעים הזוכים. </w:t>
            </w:r>
          </w:p>
        </w:tc>
      </w:tr>
      <w:tr w:rsidR="00D65EC0" w:rsidRPr="00EF60AD" w14:paraId="39197F0E" w14:textId="77777777" w:rsidTr="003B2F06">
        <w:trPr>
          <w:trHeight w:val="1980"/>
        </w:trPr>
        <w:tc>
          <w:tcPr>
            <w:tcW w:w="540" w:type="dxa"/>
            <w:noWrap/>
            <w:vAlign w:val="center"/>
            <w:hideMark/>
          </w:tcPr>
          <w:p w14:paraId="6E9D6140" w14:textId="59C26D88"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66</w:t>
            </w:r>
          </w:p>
        </w:tc>
        <w:tc>
          <w:tcPr>
            <w:tcW w:w="565" w:type="dxa"/>
            <w:noWrap/>
            <w:vAlign w:val="center"/>
            <w:hideMark/>
          </w:tcPr>
          <w:p w14:paraId="26A8B5E2"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27</w:t>
            </w:r>
          </w:p>
        </w:tc>
        <w:tc>
          <w:tcPr>
            <w:tcW w:w="1183" w:type="dxa"/>
            <w:noWrap/>
            <w:vAlign w:val="center"/>
            <w:hideMark/>
          </w:tcPr>
          <w:p w14:paraId="31566CA7"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14.2</w:t>
            </w:r>
          </w:p>
        </w:tc>
        <w:tc>
          <w:tcPr>
            <w:tcW w:w="4901" w:type="dxa"/>
            <w:hideMark/>
          </w:tcPr>
          <w:p w14:paraId="5B931C6E"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הגשת ערבות הצעה בסך 50000  ש"ח: מבוקש בזאת לבטל ערבות פיננסית להצעה במכרז, מאחר ומדובר במכרז מסגרת. מכרז מסוג זה (מסגרת) אינו נוקט בבקשה לביצוע עבודה מוגדרת וצפויה מראש, אלא בזכות בלבד להיכלל בין מאגר מציעים להציע הצעות לקבלת הזמנת עבודה אשר אינה מועדה, היקפה וזמינותה</w:t>
            </w:r>
            <w:r w:rsidRPr="00EF60AD">
              <w:rPr>
                <w:rFonts w:ascii="David" w:hAnsi="David" w:cs="David"/>
                <w:szCs w:val="24"/>
                <w:rtl/>
                <w:lang w:eastAsia="en-US"/>
              </w:rPr>
              <w:br/>
              <w:t xml:space="preserve">לזוכים במכרז אינם ידועים למציעים בשלב מקדים זה. בנסיבות אלה, הדרישה </w:t>
            </w:r>
            <w:proofErr w:type="spellStart"/>
            <w:r w:rsidRPr="00EF60AD">
              <w:rPr>
                <w:rFonts w:ascii="David" w:hAnsi="David" w:cs="David"/>
                <w:szCs w:val="24"/>
                <w:rtl/>
                <w:lang w:eastAsia="en-US"/>
              </w:rPr>
              <w:t>ממציעים</w:t>
            </w:r>
            <w:proofErr w:type="spellEnd"/>
            <w:r w:rsidRPr="00EF60AD">
              <w:rPr>
                <w:rFonts w:ascii="David" w:hAnsi="David" w:cs="David"/>
                <w:szCs w:val="24"/>
                <w:rtl/>
                <w:lang w:eastAsia="en-US"/>
              </w:rPr>
              <w:t xml:space="preserve"> במכרז להעמדת סכום זה כערבות במזומן, מהווה דרישה שאינה  סבירה בעליל, כל זאת ובאופן היוצר אפליה מובנית בין עוסקים גדולים אשר הינם בעלי יכולת  פיננסית להעמיד סכום זה במזומן  , לבין עוסקים קטנים ובינוניים המעוניינים להשתתף במכרז זה.</w:t>
            </w:r>
          </w:p>
        </w:tc>
        <w:tc>
          <w:tcPr>
            <w:tcW w:w="2037" w:type="dxa"/>
            <w:noWrap/>
            <w:hideMark/>
          </w:tcPr>
          <w:p w14:paraId="35B69907"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34727C63" w14:textId="77777777" w:rsidTr="003B2F06">
        <w:trPr>
          <w:trHeight w:val="330"/>
        </w:trPr>
        <w:tc>
          <w:tcPr>
            <w:tcW w:w="540" w:type="dxa"/>
            <w:noWrap/>
            <w:vAlign w:val="center"/>
            <w:hideMark/>
          </w:tcPr>
          <w:p w14:paraId="222C09F0" w14:textId="3FC2BBC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67</w:t>
            </w:r>
          </w:p>
        </w:tc>
        <w:tc>
          <w:tcPr>
            <w:tcW w:w="565" w:type="dxa"/>
            <w:noWrap/>
            <w:vAlign w:val="center"/>
            <w:hideMark/>
          </w:tcPr>
          <w:p w14:paraId="0E860B77"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27</w:t>
            </w:r>
          </w:p>
        </w:tc>
        <w:tc>
          <w:tcPr>
            <w:tcW w:w="1183" w:type="dxa"/>
            <w:vAlign w:val="center"/>
            <w:hideMark/>
          </w:tcPr>
          <w:p w14:paraId="47728E73"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14.2.7</w:t>
            </w:r>
          </w:p>
        </w:tc>
        <w:tc>
          <w:tcPr>
            <w:tcW w:w="4901" w:type="dxa"/>
            <w:hideMark/>
          </w:tcPr>
          <w:p w14:paraId="10CFB0CA"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כי טרם חילוט הערבות יפנה עורך המכרז לספק המסגרת, לשם בירור הסוגיה בגינה הוחלט על חילוט הערבות ותהיה לספק המסגרת אפשרות לבדוק הנושא.</w:t>
            </w:r>
          </w:p>
        </w:tc>
        <w:tc>
          <w:tcPr>
            <w:tcW w:w="2037" w:type="dxa"/>
            <w:noWrap/>
            <w:hideMark/>
          </w:tcPr>
          <w:p w14:paraId="0ABDF526"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המזמין יאפשר לזוכה הרלוונטי לטעון בפניו בטרם חילוט הערבות</w:t>
            </w:r>
          </w:p>
        </w:tc>
      </w:tr>
      <w:tr w:rsidR="00D65EC0" w:rsidRPr="00EF60AD" w14:paraId="166AF2D8" w14:textId="77777777" w:rsidTr="003B2F06">
        <w:trPr>
          <w:trHeight w:val="660"/>
        </w:trPr>
        <w:tc>
          <w:tcPr>
            <w:tcW w:w="540" w:type="dxa"/>
            <w:noWrap/>
            <w:vAlign w:val="center"/>
            <w:hideMark/>
          </w:tcPr>
          <w:p w14:paraId="271AA3AE" w14:textId="024B4BF3"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68</w:t>
            </w:r>
          </w:p>
        </w:tc>
        <w:tc>
          <w:tcPr>
            <w:tcW w:w="565" w:type="dxa"/>
            <w:vAlign w:val="center"/>
            <w:hideMark/>
          </w:tcPr>
          <w:p w14:paraId="44060927"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27</w:t>
            </w:r>
          </w:p>
        </w:tc>
        <w:tc>
          <w:tcPr>
            <w:tcW w:w="1183" w:type="dxa"/>
            <w:vAlign w:val="center"/>
            <w:hideMark/>
          </w:tcPr>
          <w:p w14:paraId="3699E6D3"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15.2</w:t>
            </w:r>
          </w:p>
        </w:tc>
        <w:tc>
          <w:tcPr>
            <w:tcW w:w="4901" w:type="dxa"/>
            <w:hideMark/>
          </w:tcPr>
          <w:p w14:paraId="4938F555"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מבוקש שלא להקדים את המועד להגשת ההצעות. המכרז הינו מכרז מורכב ולוח הזמנים הנוכחי צפוף דיו. הקדמה חד צדדית של לוח הזמנים תהווה, בסבירות גבוהה, חסם למציעים רבים שלא יספיקו לעמוד בלוח הזמנים וכך תימנע קבלת הצעות מיטביות.</w:t>
            </w:r>
          </w:p>
        </w:tc>
        <w:tc>
          <w:tcPr>
            <w:tcW w:w="2037" w:type="dxa"/>
            <w:noWrap/>
            <w:hideMark/>
          </w:tcPr>
          <w:p w14:paraId="29289F10"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לא מתוכננת הקדמה של המועד האחרון להגשת ההצעות.</w:t>
            </w:r>
          </w:p>
        </w:tc>
      </w:tr>
      <w:tr w:rsidR="00D65EC0" w:rsidRPr="00EF60AD" w14:paraId="511699F7" w14:textId="77777777" w:rsidTr="003B2F06">
        <w:trPr>
          <w:trHeight w:val="1320"/>
        </w:trPr>
        <w:tc>
          <w:tcPr>
            <w:tcW w:w="540" w:type="dxa"/>
            <w:noWrap/>
            <w:vAlign w:val="center"/>
            <w:hideMark/>
          </w:tcPr>
          <w:p w14:paraId="1FF30DA1" w14:textId="2039395E"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69</w:t>
            </w:r>
          </w:p>
        </w:tc>
        <w:tc>
          <w:tcPr>
            <w:tcW w:w="565" w:type="dxa"/>
            <w:vAlign w:val="center"/>
            <w:hideMark/>
          </w:tcPr>
          <w:p w14:paraId="4A5EA611"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28</w:t>
            </w:r>
          </w:p>
        </w:tc>
        <w:tc>
          <w:tcPr>
            <w:tcW w:w="1183" w:type="dxa"/>
            <w:vAlign w:val="center"/>
            <w:hideMark/>
          </w:tcPr>
          <w:p w14:paraId="2C15A614"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16.1.2</w:t>
            </w:r>
          </w:p>
        </w:tc>
        <w:tc>
          <w:tcPr>
            <w:tcW w:w="4901" w:type="dxa"/>
            <w:hideMark/>
          </w:tcPr>
          <w:p w14:paraId="5591272E"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שימוש באבני דרך הינו מנגנון המשרת קודם כל את המזמין, שיכול לבצע בקרה על כיווני העבודה ותוצריה מבלי לחכות לסיום העבודה. בנוסף, מדובר בנוהל מקובל בעבודות לפי תפוקה (ניתן להפנות כמעט לכל מכרז ייעוץ שפורסם בשנים האחרונות), ובפרט בעבודות המתוארות במכרז זה שיכולות להגיע עד 2 מיליון ₪. עבודות בהיקפים משמעותיים אינן אפשריות מבחינה </w:t>
            </w:r>
            <w:proofErr w:type="spellStart"/>
            <w:r w:rsidRPr="00EF60AD">
              <w:rPr>
                <w:rFonts w:ascii="David" w:hAnsi="David" w:cs="David"/>
                <w:szCs w:val="24"/>
                <w:rtl/>
                <w:lang w:eastAsia="en-US"/>
              </w:rPr>
              <w:t>תזרימית</w:t>
            </w:r>
            <w:proofErr w:type="spellEnd"/>
            <w:r w:rsidRPr="00EF60AD">
              <w:rPr>
                <w:rFonts w:ascii="David" w:hAnsi="David" w:cs="David"/>
                <w:szCs w:val="24"/>
                <w:rtl/>
                <w:lang w:eastAsia="en-US"/>
              </w:rPr>
              <w:t xml:space="preserve"> ללא אבני דרך ולאור ההשלכות הפיננסיות הכבדות, עשויות לעניות דעתנו להדיר מועמדים רבים. לפיכך נבקש לקבוע אבני דרך לתשלום בכל עבודה שהתמורה בגינה עולה על 50 אלף ₪. </w:t>
            </w:r>
          </w:p>
        </w:tc>
        <w:tc>
          <w:tcPr>
            <w:tcW w:w="2037" w:type="dxa"/>
            <w:noWrap/>
            <w:hideMark/>
          </w:tcPr>
          <w:p w14:paraId="3C98E85A"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 בהתאם לסעיף 15.1.2  המזמין רשאי להגדיר בעבודות ספציפיות אבני דרך לביצוע העבודה ואם קבע כאמור יהיה רשאי לקבוע גם כי תשולם לזוכה הנבחר חלק מהתמורה בסיום כל אחת מאבני הדרך.</w:t>
            </w:r>
          </w:p>
        </w:tc>
      </w:tr>
      <w:tr w:rsidR="00D65EC0" w:rsidRPr="00EF60AD" w14:paraId="2D130A34" w14:textId="77777777" w:rsidTr="003B2F06">
        <w:trPr>
          <w:trHeight w:val="330"/>
        </w:trPr>
        <w:tc>
          <w:tcPr>
            <w:tcW w:w="540" w:type="dxa"/>
            <w:noWrap/>
            <w:vAlign w:val="center"/>
            <w:hideMark/>
          </w:tcPr>
          <w:p w14:paraId="6B1D6754" w14:textId="0068156C"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70</w:t>
            </w:r>
          </w:p>
        </w:tc>
        <w:tc>
          <w:tcPr>
            <w:tcW w:w="565" w:type="dxa"/>
            <w:vAlign w:val="center"/>
            <w:hideMark/>
          </w:tcPr>
          <w:p w14:paraId="6211F01C"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28</w:t>
            </w:r>
          </w:p>
        </w:tc>
        <w:tc>
          <w:tcPr>
            <w:tcW w:w="1183" w:type="dxa"/>
            <w:vAlign w:val="center"/>
            <w:hideMark/>
          </w:tcPr>
          <w:p w14:paraId="65353FE8"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16.1.2</w:t>
            </w:r>
          </w:p>
        </w:tc>
        <w:tc>
          <w:tcPr>
            <w:tcW w:w="4901" w:type="dxa"/>
            <w:hideMark/>
          </w:tcPr>
          <w:p w14:paraId="46E18A09"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נא לקבוע כי הספק יהיה זכאי לשכרו אם עמד באבני הדרך שהוגדרו בהצעה, ללא הטיה סובייקטיבית.</w:t>
            </w:r>
          </w:p>
        </w:tc>
        <w:tc>
          <w:tcPr>
            <w:tcW w:w="2037" w:type="dxa"/>
            <w:noWrap/>
            <w:hideMark/>
          </w:tcPr>
          <w:p w14:paraId="5579648B"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3EC4F2DD" w14:textId="77777777" w:rsidTr="003B2F06">
        <w:trPr>
          <w:trHeight w:val="330"/>
        </w:trPr>
        <w:tc>
          <w:tcPr>
            <w:tcW w:w="540" w:type="dxa"/>
            <w:noWrap/>
            <w:vAlign w:val="center"/>
            <w:hideMark/>
          </w:tcPr>
          <w:p w14:paraId="4E7B4156" w14:textId="1265EF0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71</w:t>
            </w:r>
          </w:p>
        </w:tc>
        <w:tc>
          <w:tcPr>
            <w:tcW w:w="565" w:type="dxa"/>
            <w:vAlign w:val="center"/>
            <w:hideMark/>
          </w:tcPr>
          <w:p w14:paraId="69864EEA"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28</w:t>
            </w:r>
          </w:p>
        </w:tc>
        <w:tc>
          <w:tcPr>
            <w:tcW w:w="1183" w:type="dxa"/>
            <w:vAlign w:val="center"/>
            <w:hideMark/>
          </w:tcPr>
          <w:p w14:paraId="608E5C92"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16.1.2</w:t>
            </w:r>
          </w:p>
        </w:tc>
        <w:tc>
          <w:tcPr>
            <w:tcW w:w="4901" w:type="dxa"/>
            <w:hideMark/>
          </w:tcPr>
          <w:p w14:paraId="508226A7"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להבהיר כי במקרה של חריגה מהיקף השעות, העבודה תיעצר עד למתן אישור מראש ובכתב של המזמין</w:t>
            </w:r>
          </w:p>
        </w:tc>
        <w:tc>
          <w:tcPr>
            <w:tcW w:w="2037" w:type="dxa"/>
            <w:noWrap/>
            <w:hideMark/>
          </w:tcPr>
          <w:p w14:paraId="2C11B7CD"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התמורה בסעיף זה היא בהתאם לתפוקות לפי אבני הדרך. בהתאם לסעיף 16.2.4 בייעוץ לפי שעות יש לקבל את אישור המזמין מראש ובכתב להיקף השעות.</w:t>
            </w:r>
          </w:p>
        </w:tc>
      </w:tr>
      <w:tr w:rsidR="00D65EC0" w:rsidRPr="00EF60AD" w14:paraId="5AD55E89" w14:textId="77777777" w:rsidTr="003B2F06">
        <w:trPr>
          <w:trHeight w:val="330"/>
        </w:trPr>
        <w:tc>
          <w:tcPr>
            <w:tcW w:w="540" w:type="dxa"/>
            <w:noWrap/>
            <w:vAlign w:val="center"/>
            <w:hideMark/>
          </w:tcPr>
          <w:p w14:paraId="24A5D563" w14:textId="23D944EC"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72</w:t>
            </w:r>
          </w:p>
        </w:tc>
        <w:tc>
          <w:tcPr>
            <w:tcW w:w="565" w:type="dxa"/>
            <w:noWrap/>
            <w:vAlign w:val="center"/>
            <w:hideMark/>
          </w:tcPr>
          <w:p w14:paraId="08F80D49"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28</w:t>
            </w:r>
          </w:p>
        </w:tc>
        <w:tc>
          <w:tcPr>
            <w:tcW w:w="1183" w:type="dxa"/>
            <w:vAlign w:val="center"/>
            <w:hideMark/>
          </w:tcPr>
          <w:p w14:paraId="2F226696"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16.1.2</w:t>
            </w:r>
          </w:p>
        </w:tc>
        <w:tc>
          <w:tcPr>
            <w:tcW w:w="4901" w:type="dxa"/>
            <w:hideMark/>
          </w:tcPr>
          <w:p w14:paraId="55C663C1"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נבקש להבהיר כי </w:t>
            </w:r>
            <w:r w:rsidRPr="00EF60AD">
              <w:rPr>
                <w:rFonts w:ascii="David" w:hAnsi="David" w:cs="David"/>
                <w:szCs w:val="24"/>
                <w:u w:val="single"/>
                <w:rtl/>
                <w:lang w:eastAsia="en-US"/>
              </w:rPr>
              <w:t>טרם ביצוע העבודה</w:t>
            </w:r>
            <w:r w:rsidRPr="00EF60AD">
              <w:rPr>
                <w:rFonts w:ascii="David" w:hAnsi="David" w:cs="David"/>
                <w:szCs w:val="24"/>
                <w:rtl/>
                <w:lang w:eastAsia="en-US"/>
              </w:rPr>
              <w:t xml:space="preserve"> יוגדרו אבני הדרך לביצוע העבודה והתמורה בגינם </w:t>
            </w:r>
          </w:p>
        </w:tc>
        <w:tc>
          <w:tcPr>
            <w:tcW w:w="2037" w:type="dxa"/>
            <w:noWrap/>
            <w:hideMark/>
          </w:tcPr>
          <w:p w14:paraId="36EDC618"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בעבודות שבהן יוגדרו אבני דרך אלה יוגדרו בטרם ביצוע העבודה</w:t>
            </w:r>
          </w:p>
        </w:tc>
      </w:tr>
      <w:tr w:rsidR="00D65EC0" w:rsidRPr="00EF60AD" w14:paraId="0C38620B" w14:textId="77777777" w:rsidTr="003B2F06">
        <w:trPr>
          <w:trHeight w:val="330"/>
        </w:trPr>
        <w:tc>
          <w:tcPr>
            <w:tcW w:w="540" w:type="dxa"/>
            <w:noWrap/>
            <w:vAlign w:val="center"/>
            <w:hideMark/>
          </w:tcPr>
          <w:p w14:paraId="4698831D" w14:textId="67FAED5B"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73</w:t>
            </w:r>
          </w:p>
        </w:tc>
        <w:tc>
          <w:tcPr>
            <w:tcW w:w="565" w:type="dxa"/>
            <w:noWrap/>
            <w:vAlign w:val="center"/>
            <w:hideMark/>
          </w:tcPr>
          <w:p w14:paraId="63EAC51A"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29</w:t>
            </w:r>
          </w:p>
        </w:tc>
        <w:tc>
          <w:tcPr>
            <w:tcW w:w="1183" w:type="dxa"/>
            <w:vAlign w:val="center"/>
            <w:hideMark/>
          </w:tcPr>
          <w:p w14:paraId="409860EB"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16.2.7</w:t>
            </w:r>
          </w:p>
        </w:tc>
        <w:tc>
          <w:tcPr>
            <w:tcW w:w="4901" w:type="dxa"/>
            <w:hideMark/>
          </w:tcPr>
          <w:p w14:paraId="30CAF57B"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נבקש להכיל תשלומי נסיעות על פי תעריפי </w:t>
            </w:r>
            <w:proofErr w:type="spellStart"/>
            <w:r w:rsidRPr="00EF60AD">
              <w:rPr>
                <w:rFonts w:ascii="David" w:hAnsi="David" w:cs="David"/>
                <w:szCs w:val="24"/>
                <w:rtl/>
                <w:lang w:eastAsia="en-US"/>
              </w:rPr>
              <w:t>חשכ"ל</w:t>
            </w:r>
            <w:proofErr w:type="spellEnd"/>
          </w:p>
        </w:tc>
        <w:tc>
          <w:tcPr>
            <w:tcW w:w="2037" w:type="dxa"/>
            <w:noWrap/>
            <w:hideMark/>
          </w:tcPr>
          <w:p w14:paraId="75384EEA"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אין שינוי במסמכי המכרז </w:t>
            </w:r>
          </w:p>
        </w:tc>
      </w:tr>
      <w:tr w:rsidR="00D65EC0" w:rsidRPr="00EF60AD" w14:paraId="3C73B7AD" w14:textId="77777777" w:rsidTr="003B2F06">
        <w:trPr>
          <w:trHeight w:val="330"/>
        </w:trPr>
        <w:tc>
          <w:tcPr>
            <w:tcW w:w="540" w:type="dxa"/>
            <w:noWrap/>
            <w:vAlign w:val="center"/>
            <w:hideMark/>
          </w:tcPr>
          <w:p w14:paraId="6A15FD5C" w14:textId="1B9D99EF"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74</w:t>
            </w:r>
          </w:p>
        </w:tc>
        <w:tc>
          <w:tcPr>
            <w:tcW w:w="565" w:type="dxa"/>
            <w:noWrap/>
            <w:vAlign w:val="center"/>
            <w:hideMark/>
          </w:tcPr>
          <w:p w14:paraId="68A5A98E"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29</w:t>
            </w:r>
          </w:p>
        </w:tc>
        <w:tc>
          <w:tcPr>
            <w:tcW w:w="1183" w:type="dxa"/>
            <w:noWrap/>
            <w:vAlign w:val="center"/>
            <w:hideMark/>
          </w:tcPr>
          <w:p w14:paraId="3666A572"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17.1</w:t>
            </w:r>
          </w:p>
        </w:tc>
        <w:tc>
          <w:tcPr>
            <w:tcW w:w="4901" w:type="dxa"/>
            <w:hideMark/>
          </w:tcPr>
          <w:p w14:paraId="1AE5DFBB"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מוצע לקבוע הצמדה לשיעור השינוי בתעריפי </w:t>
            </w:r>
            <w:proofErr w:type="spellStart"/>
            <w:r w:rsidRPr="00EF60AD">
              <w:rPr>
                <w:rFonts w:ascii="David" w:hAnsi="David" w:cs="David"/>
                <w:szCs w:val="24"/>
                <w:rtl/>
                <w:lang w:eastAsia="en-US"/>
              </w:rPr>
              <w:t>החשכ"ל</w:t>
            </w:r>
            <w:proofErr w:type="spellEnd"/>
            <w:r w:rsidRPr="00EF60AD">
              <w:rPr>
                <w:rFonts w:ascii="David" w:hAnsi="David" w:cs="David"/>
                <w:szCs w:val="24"/>
                <w:rtl/>
                <w:lang w:eastAsia="en-US"/>
              </w:rPr>
              <w:t xml:space="preserve"> וזאת ממועד הזכייה.</w:t>
            </w:r>
          </w:p>
        </w:tc>
        <w:tc>
          <w:tcPr>
            <w:tcW w:w="2037" w:type="dxa"/>
            <w:noWrap/>
            <w:hideMark/>
          </w:tcPr>
          <w:p w14:paraId="7FC4D030"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09AEE289" w14:textId="77777777" w:rsidTr="003B2F06">
        <w:trPr>
          <w:trHeight w:val="330"/>
        </w:trPr>
        <w:tc>
          <w:tcPr>
            <w:tcW w:w="540" w:type="dxa"/>
            <w:noWrap/>
            <w:vAlign w:val="center"/>
            <w:hideMark/>
          </w:tcPr>
          <w:p w14:paraId="3E5A339A" w14:textId="619D52A4"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75</w:t>
            </w:r>
          </w:p>
        </w:tc>
        <w:tc>
          <w:tcPr>
            <w:tcW w:w="565" w:type="dxa"/>
            <w:noWrap/>
            <w:vAlign w:val="center"/>
            <w:hideMark/>
          </w:tcPr>
          <w:p w14:paraId="257A66ED"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30</w:t>
            </w:r>
          </w:p>
        </w:tc>
        <w:tc>
          <w:tcPr>
            <w:tcW w:w="1183" w:type="dxa"/>
            <w:vAlign w:val="center"/>
            <w:hideMark/>
          </w:tcPr>
          <w:p w14:paraId="63CB4C9D"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18</w:t>
            </w:r>
          </w:p>
        </w:tc>
        <w:tc>
          <w:tcPr>
            <w:tcW w:w="4901" w:type="dxa"/>
            <w:hideMark/>
          </w:tcPr>
          <w:p w14:paraId="09471DEC"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נבקש הבהרתכם האם מציע שמגיש יותר מהצעה אחת, נדרש להגיש מסמכי חברה ואישורים פעם אחת או לכל אחד מהסלים בנפרד </w:t>
            </w:r>
          </w:p>
        </w:tc>
        <w:tc>
          <w:tcPr>
            <w:tcW w:w="2037" w:type="dxa"/>
            <w:noWrap/>
            <w:hideMark/>
          </w:tcPr>
          <w:p w14:paraId="0853960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 xml:space="preserve">את המסמכים הכללים הנוגעים לתנאי הסף המנהליים וכן אישורים והצהרות שאינם משתנים בין הסלים, ניתן להגיש רק פעם אחת. </w:t>
            </w:r>
          </w:p>
        </w:tc>
      </w:tr>
      <w:tr w:rsidR="00D65EC0" w:rsidRPr="00EF60AD" w14:paraId="49B90517" w14:textId="77777777" w:rsidTr="003B2F06">
        <w:trPr>
          <w:trHeight w:val="330"/>
        </w:trPr>
        <w:tc>
          <w:tcPr>
            <w:tcW w:w="540" w:type="dxa"/>
            <w:noWrap/>
            <w:vAlign w:val="center"/>
            <w:hideMark/>
          </w:tcPr>
          <w:p w14:paraId="07300BB6" w14:textId="7E549124"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76</w:t>
            </w:r>
          </w:p>
        </w:tc>
        <w:tc>
          <w:tcPr>
            <w:tcW w:w="565" w:type="dxa"/>
            <w:noWrap/>
            <w:vAlign w:val="center"/>
            <w:hideMark/>
          </w:tcPr>
          <w:p w14:paraId="593DF66B"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30</w:t>
            </w:r>
          </w:p>
        </w:tc>
        <w:tc>
          <w:tcPr>
            <w:tcW w:w="1183" w:type="dxa"/>
            <w:noWrap/>
            <w:vAlign w:val="center"/>
            <w:hideMark/>
          </w:tcPr>
          <w:p w14:paraId="392354A4"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18</w:t>
            </w:r>
          </w:p>
        </w:tc>
        <w:tc>
          <w:tcPr>
            <w:tcW w:w="4901" w:type="dxa"/>
            <w:hideMark/>
          </w:tcPr>
          <w:p w14:paraId="1B72F564"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שלב המחיר" - להבנתנו נדרש לצרף רק את נספח הצעת מחיר – שכאמור לא צורך למכרז. האם נדרש לצרף למעטפה מסמכים נוספים?</w:t>
            </w:r>
          </w:p>
        </w:tc>
        <w:tc>
          <w:tcPr>
            <w:tcW w:w="2037" w:type="dxa"/>
            <w:noWrap/>
            <w:hideMark/>
          </w:tcPr>
          <w:p w14:paraId="243CC0B1"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הצעת המחיר תוגש על גבי נספח </w:t>
            </w:r>
            <w:r w:rsidRPr="00EF60AD">
              <w:rPr>
                <w:rFonts w:ascii="David" w:hAnsi="David" w:cs="David"/>
                <w:color w:val="000000"/>
                <w:szCs w:val="24"/>
                <w:lang w:eastAsia="en-US"/>
              </w:rPr>
              <w:t xml:space="preserve">X </w:t>
            </w:r>
            <w:r w:rsidRPr="00EF60AD">
              <w:rPr>
                <w:rFonts w:ascii="David" w:hAnsi="David" w:cs="David"/>
                <w:color w:val="000000"/>
                <w:szCs w:val="24"/>
                <w:rtl/>
                <w:lang w:eastAsia="en-US"/>
              </w:rPr>
              <w:t>שצורף למסמכי המכרז</w:t>
            </w:r>
          </w:p>
        </w:tc>
      </w:tr>
      <w:tr w:rsidR="00D65EC0" w:rsidRPr="00EF60AD" w14:paraId="5873F236" w14:textId="77777777" w:rsidTr="003B2F06">
        <w:trPr>
          <w:trHeight w:val="660"/>
        </w:trPr>
        <w:tc>
          <w:tcPr>
            <w:tcW w:w="540" w:type="dxa"/>
            <w:noWrap/>
            <w:vAlign w:val="center"/>
            <w:hideMark/>
          </w:tcPr>
          <w:p w14:paraId="607CE70C" w14:textId="7C258FA8"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77</w:t>
            </w:r>
          </w:p>
        </w:tc>
        <w:tc>
          <w:tcPr>
            <w:tcW w:w="565" w:type="dxa"/>
            <w:noWrap/>
            <w:vAlign w:val="center"/>
            <w:hideMark/>
          </w:tcPr>
          <w:p w14:paraId="32B8AE32"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34</w:t>
            </w:r>
          </w:p>
        </w:tc>
        <w:tc>
          <w:tcPr>
            <w:tcW w:w="1183" w:type="dxa"/>
            <w:noWrap/>
            <w:vAlign w:val="center"/>
            <w:hideMark/>
          </w:tcPr>
          <w:p w14:paraId="71FF9126"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4.6 להסכם</w:t>
            </w:r>
          </w:p>
        </w:tc>
        <w:tc>
          <w:tcPr>
            <w:tcW w:w="4901" w:type="dxa"/>
            <w:hideMark/>
          </w:tcPr>
          <w:p w14:paraId="7470489A"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סעיף 4.6- נבקש להוסיף את המשפט הבא: " איחור של עד 7 ימי עסקים לא יהווה איחור לצורך סעיף זה. איחור שייגרם כתוצאה מנסיבות שאינן תלויות ביועץ או בשל מעשה/מחדל של המזמינה, לא ייחשב איחור לצורך סעיף זה</w:t>
            </w:r>
          </w:p>
        </w:tc>
        <w:tc>
          <w:tcPr>
            <w:tcW w:w="2037" w:type="dxa"/>
            <w:noWrap/>
            <w:hideMark/>
          </w:tcPr>
          <w:p w14:paraId="129E2812"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w:t>
            </w:r>
          </w:p>
        </w:tc>
      </w:tr>
      <w:tr w:rsidR="00D65EC0" w:rsidRPr="00EF60AD" w14:paraId="4872DF7D" w14:textId="77777777" w:rsidTr="003B2F06">
        <w:trPr>
          <w:trHeight w:val="330"/>
        </w:trPr>
        <w:tc>
          <w:tcPr>
            <w:tcW w:w="540" w:type="dxa"/>
            <w:noWrap/>
            <w:vAlign w:val="center"/>
            <w:hideMark/>
          </w:tcPr>
          <w:p w14:paraId="731FD9E1" w14:textId="05EF23E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78</w:t>
            </w:r>
          </w:p>
        </w:tc>
        <w:tc>
          <w:tcPr>
            <w:tcW w:w="565" w:type="dxa"/>
            <w:vAlign w:val="center"/>
            <w:hideMark/>
          </w:tcPr>
          <w:p w14:paraId="27F68BE5"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34</w:t>
            </w:r>
          </w:p>
        </w:tc>
        <w:tc>
          <w:tcPr>
            <w:tcW w:w="1183" w:type="dxa"/>
            <w:vAlign w:val="center"/>
            <w:hideMark/>
          </w:tcPr>
          <w:p w14:paraId="38618D1C"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6.1 להסכם</w:t>
            </w:r>
          </w:p>
        </w:tc>
        <w:tc>
          <w:tcPr>
            <w:tcW w:w="4901" w:type="dxa"/>
            <w:hideMark/>
          </w:tcPr>
          <w:p w14:paraId="116F3880"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מבוקש להתאים את התקופה האמורה בסעיף זה לאמור בנספח ג' באשר לפרק הזמן שלאחר סיום מתן השירותים.</w:t>
            </w:r>
          </w:p>
        </w:tc>
        <w:tc>
          <w:tcPr>
            <w:tcW w:w="2037" w:type="dxa"/>
            <w:noWrap/>
            <w:hideMark/>
          </w:tcPr>
          <w:p w14:paraId="72D74B5B"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ראו תשובה לשאלה 22</w:t>
            </w:r>
          </w:p>
        </w:tc>
      </w:tr>
      <w:tr w:rsidR="00D65EC0" w:rsidRPr="00EF60AD" w14:paraId="5515F14B" w14:textId="77777777" w:rsidTr="003B2F06">
        <w:trPr>
          <w:trHeight w:val="330"/>
        </w:trPr>
        <w:tc>
          <w:tcPr>
            <w:tcW w:w="540" w:type="dxa"/>
            <w:noWrap/>
            <w:vAlign w:val="center"/>
            <w:hideMark/>
          </w:tcPr>
          <w:p w14:paraId="79F49AF2" w14:textId="77A960B7"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79</w:t>
            </w:r>
          </w:p>
        </w:tc>
        <w:tc>
          <w:tcPr>
            <w:tcW w:w="565" w:type="dxa"/>
            <w:noWrap/>
            <w:vAlign w:val="center"/>
            <w:hideMark/>
          </w:tcPr>
          <w:p w14:paraId="37E91C44"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35</w:t>
            </w:r>
          </w:p>
        </w:tc>
        <w:tc>
          <w:tcPr>
            <w:tcW w:w="1183" w:type="dxa"/>
            <w:vAlign w:val="center"/>
            <w:hideMark/>
          </w:tcPr>
          <w:p w14:paraId="04EE3B57"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7.2 להסכם</w:t>
            </w:r>
          </w:p>
        </w:tc>
        <w:tc>
          <w:tcPr>
            <w:tcW w:w="4901" w:type="dxa"/>
            <w:hideMark/>
          </w:tcPr>
          <w:p w14:paraId="42673BE4"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האם ההיקפים הכספיים המדוברים הינם היקפי שכ"ט? </w:t>
            </w:r>
          </w:p>
        </w:tc>
        <w:tc>
          <w:tcPr>
            <w:tcW w:w="2037" w:type="dxa"/>
            <w:noWrap/>
            <w:hideMark/>
          </w:tcPr>
          <w:p w14:paraId="0D717804"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30FD9CF9" w14:textId="77777777" w:rsidTr="003B2F06">
        <w:trPr>
          <w:trHeight w:val="330"/>
        </w:trPr>
        <w:tc>
          <w:tcPr>
            <w:tcW w:w="540" w:type="dxa"/>
            <w:noWrap/>
            <w:vAlign w:val="center"/>
            <w:hideMark/>
          </w:tcPr>
          <w:p w14:paraId="45D69ACB" w14:textId="191982FB"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80</w:t>
            </w:r>
          </w:p>
        </w:tc>
        <w:tc>
          <w:tcPr>
            <w:tcW w:w="565" w:type="dxa"/>
            <w:noWrap/>
            <w:vAlign w:val="center"/>
            <w:hideMark/>
          </w:tcPr>
          <w:p w14:paraId="54FD41B3"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35</w:t>
            </w:r>
          </w:p>
        </w:tc>
        <w:tc>
          <w:tcPr>
            <w:tcW w:w="1183" w:type="dxa"/>
            <w:noWrap/>
            <w:vAlign w:val="center"/>
            <w:hideMark/>
          </w:tcPr>
          <w:p w14:paraId="12CE55B5"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7.3 הסכם</w:t>
            </w:r>
          </w:p>
        </w:tc>
        <w:tc>
          <w:tcPr>
            <w:tcW w:w="4901" w:type="dxa"/>
            <w:hideMark/>
          </w:tcPr>
          <w:p w14:paraId="10BAC6E4"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נבקש להכיל תשלומי נסיעות על פי תעריפי </w:t>
            </w:r>
            <w:proofErr w:type="spellStart"/>
            <w:r w:rsidRPr="00EF60AD">
              <w:rPr>
                <w:rFonts w:ascii="David" w:hAnsi="David" w:cs="David"/>
                <w:szCs w:val="24"/>
                <w:rtl/>
                <w:lang w:eastAsia="en-US"/>
              </w:rPr>
              <w:t>חשכ"ל</w:t>
            </w:r>
            <w:proofErr w:type="spellEnd"/>
          </w:p>
        </w:tc>
        <w:tc>
          <w:tcPr>
            <w:tcW w:w="2037" w:type="dxa"/>
            <w:noWrap/>
            <w:hideMark/>
          </w:tcPr>
          <w:p w14:paraId="686CCCE7" w14:textId="76596416"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w:t>
            </w:r>
          </w:p>
        </w:tc>
      </w:tr>
      <w:tr w:rsidR="00D65EC0" w:rsidRPr="00EF60AD" w14:paraId="7B666930" w14:textId="77777777" w:rsidTr="003B2F06">
        <w:trPr>
          <w:trHeight w:val="330"/>
        </w:trPr>
        <w:tc>
          <w:tcPr>
            <w:tcW w:w="540" w:type="dxa"/>
            <w:noWrap/>
            <w:vAlign w:val="center"/>
            <w:hideMark/>
          </w:tcPr>
          <w:p w14:paraId="0C7BDB3F" w14:textId="7EDAC9B5"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81</w:t>
            </w:r>
          </w:p>
        </w:tc>
        <w:tc>
          <w:tcPr>
            <w:tcW w:w="565" w:type="dxa"/>
            <w:noWrap/>
            <w:vAlign w:val="center"/>
            <w:hideMark/>
          </w:tcPr>
          <w:p w14:paraId="0696AAC0"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35</w:t>
            </w:r>
          </w:p>
        </w:tc>
        <w:tc>
          <w:tcPr>
            <w:tcW w:w="1183" w:type="dxa"/>
            <w:noWrap/>
            <w:vAlign w:val="center"/>
            <w:hideMark/>
          </w:tcPr>
          <w:p w14:paraId="5D213754"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9.1 הסכם</w:t>
            </w:r>
          </w:p>
        </w:tc>
        <w:tc>
          <w:tcPr>
            <w:tcW w:w="4901" w:type="dxa"/>
            <w:hideMark/>
          </w:tcPr>
          <w:p w14:paraId="5E547877"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להוסיף את המשפט: "והכל לאחר קבלת פס"ד חלוט"</w:t>
            </w:r>
          </w:p>
        </w:tc>
        <w:tc>
          <w:tcPr>
            <w:tcW w:w="2037" w:type="dxa"/>
            <w:noWrap/>
            <w:hideMark/>
          </w:tcPr>
          <w:p w14:paraId="699E5D19"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w:t>
            </w:r>
          </w:p>
        </w:tc>
      </w:tr>
      <w:tr w:rsidR="00D65EC0" w:rsidRPr="00EF60AD" w14:paraId="017BFEA6" w14:textId="77777777" w:rsidTr="003B2F06">
        <w:trPr>
          <w:trHeight w:val="990"/>
        </w:trPr>
        <w:tc>
          <w:tcPr>
            <w:tcW w:w="540" w:type="dxa"/>
            <w:noWrap/>
            <w:vAlign w:val="center"/>
            <w:hideMark/>
          </w:tcPr>
          <w:p w14:paraId="22DE3FDD" w14:textId="02442E03"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82</w:t>
            </w:r>
          </w:p>
        </w:tc>
        <w:tc>
          <w:tcPr>
            <w:tcW w:w="565" w:type="dxa"/>
            <w:vAlign w:val="center"/>
            <w:hideMark/>
          </w:tcPr>
          <w:p w14:paraId="4344CAA4"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36</w:t>
            </w:r>
          </w:p>
        </w:tc>
        <w:tc>
          <w:tcPr>
            <w:tcW w:w="1183" w:type="dxa"/>
            <w:vAlign w:val="center"/>
            <w:hideMark/>
          </w:tcPr>
          <w:p w14:paraId="411EC8C0"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9 להסכם</w:t>
            </w:r>
          </w:p>
        </w:tc>
        <w:tc>
          <w:tcPr>
            <w:tcW w:w="4901" w:type="dxa"/>
            <w:hideMark/>
          </w:tcPr>
          <w:p w14:paraId="5508390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מבוקש להוסיף  9.4 כדלקמן: "9.4. בכל מקרה בו תוגש תביעה כנגד המזמין בגינה הוא דורש שיפוי מהספק, יהא על המזמין להודיע לספק על הגשת התביעה ולאפשר לספק להצטרף להליך כצד מעונין. המזמין לא יגיע להסדר עם התובע ללא קבלת הסכמת הספק מראש ובכתב. כל שיפוי ייעשה לאחר מתן פסק דין שאין אחריו זכות ערעור".</w:t>
            </w:r>
          </w:p>
        </w:tc>
        <w:tc>
          <w:tcPr>
            <w:tcW w:w="2037" w:type="dxa"/>
            <w:noWrap/>
            <w:hideMark/>
          </w:tcPr>
          <w:p w14:paraId="3781969E"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w:t>
            </w:r>
          </w:p>
        </w:tc>
      </w:tr>
      <w:tr w:rsidR="00D65EC0" w:rsidRPr="00EF60AD" w14:paraId="1DDEEFDE" w14:textId="77777777" w:rsidTr="003B2F06">
        <w:trPr>
          <w:trHeight w:val="660"/>
        </w:trPr>
        <w:tc>
          <w:tcPr>
            <w:tcW w:w="540" w:type="dxa"/>
            <w:noWrap/>
            <w:vAlign w:val="center"/>
            <w:hideMark/>
          </w:tcPr>
          <w:p w14:paraId="0CE4D237" w14:textId="508D298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83</w:t>
            </w:r>
          </w:p>
        </w:tc>
        <w:tc>
          <w:tcPr>
            <w:tcW w:w="565" w:type="dxa"/>
            <w:noWrap/>
            <w:vAlign w:val="center"/>
            <w:hideMark/>
          </w:tcPr>
          <w:p w14:paraId="41614C64"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36</w:t>
            </w:r>
          </w:p>
        </w:tc>
        <w:tc>
          <w:tcPr>
            <w:tcW w:w="1183" w:type="dxa"/>
            <w:noWrap/>
            <w:vAlign w:val="center"/>
            <w:hideMark/>
          </w:tcPr>
          <w:p w14:paraId="4CBC7773"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9.3 להסכם</w:t>
            </w:r>
          </w:p>
        </w:tc>
        <w:tc>
          <w:tcPr>
            <w:tcW w:w="4901" w:type="dxa"/>
            <w:hideMark/>
          </w:tcPr>
          <w:p w14:paraId="753F5423"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להוסיף כי במקרה ותוגש תביעה שעילתה קיומם או אי קיומם של יחסי עובד מעביד, יהא על המזמין להודיע לקבלן על הגשת התביעה מיד עם קבלתה והקבלן יהיה רשאי להצטרף להליך כצד המעוניין להתגונן מפני התביעה. המזמין לא יגיע להסדר עם התובע אלא לאחר קבלת הסכמה בכתב ומראש מאת הקבלן</w:t>
            </w:r>
          </w:p>
        </w:tc>
        <w:tc>
          <w:tcPr>
            <w:tcW w:w="2037" w:type="dxa"/>
            <w:noWrap/>
            <w:hideMark/>
          </w:tcPr>
          <w:p w14:paraId="198BA8FF"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w:t>
            </w:r>
          </w:p>
        </w:tc>
      </w:tr>
      <w:tr w:rsidR="00D65EC0" w:rsidRPr="00EF60AD" w14:paraId="33F2B872" w14:textId="77777777" w:rsidTr="003B2F06">
        <w:trPr>
          <w:trHeight w:val="330"/>
        </w:trPr>
        <w:tc>
          <w:tcPr>
            <w:tcW w:w="540" w:type="dxa"/>
            <w:noWrap/>
            <w:vAlign w:val="center"/>
            <w:hideMark/>
          </w:tcPr>
          <w:p w14:paraId="0CA4D817" w14:textId="0E0B43C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84</w:t>
            </w:r>
          </w:p>
        </w:tc>
        <w:tc>
          <w:tcPr>
            <w:tcW w:w="565" w:type="dxa"/>
            <w:noWrap/>
            <w:vAlign w:val="center"/>
            <w:hideMark/>
          </w:tcPr>
          <w:p w14:paraId="2B02A5ED"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36</w:t>
            </w:r>
          </w:p>
        </w:tc>
        <w:tc>
          <w:tcPr>
            <w:tcW w:w="1183" w:type="dxa"/>
            <w:noWrap/>
            <w:vAlign w:val="center"/>
            <w:hideMark/>
          </w:tcPr>
          <w:p w14:paraId="1FA43816"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10 להסכם</w:t>
            </w:r>
          </w:p>
        </w:tc>
        <w:tc>
          <w:tcPr>
            <w:tcW w:w="4901" w:type="dxa"/>
            <w:hideMark/>
          </w:tcPr>
          <w:p w14:paraId="7A08664D" w14:textId="3A620782"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נבקש כי טרם ביצוע הקיזוז, יפנה המזמין לספק המסגרת, לשם בירור </w:t>
            </w:r>
            <w:r w:rsidR="00FE45C6" w:rsidRPr="00EF60AD">
              <w:rPr>
                <w:rFonts w:ascii="David" w:hAnsi="David" w:cs="David"/>
                <w:szCs w:val="24"/>
                <w:rtl/>
                <w:lang w:eastAsia="en-US"/>
              </w:rPr>
              <w:t>הסוגיה</w:t>
            </w:r>
            <w:r w:rsidRPr="00EF60AD">
              <w:rPr>
                <w:rFonts w:ascii="David" w:hAnsi="David" w:cs="David"/>
                <w:szCs w:val="24"/>
                <w:rtl/>
                <w:lang w:eastAsia="en-US"/>
              </w:rPr>
              <w:t xml:space="preserve"> בגינה הוחלט על הקיזוז ותהיה לקבלן המסגרת אפשרות לבדוק הנושא</w:t>
            </w:r>
          </w:p>
        </w:tc>
        <w:tc>
          <w:tcPr>
            <w:tcW w:w="2037" w:type="dxa"/>
            <w:noWrap/>
            <w:hideMark/>
          </w:tcPr>
          <w:p w14:paraId="2F498EA9"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w:t>
            </w:r>
          </w:p>
        </w:tc>
      </w:tr>
      <w:tr w:rsidR="00D65EC0" w:rsidRPr="00EF60AD" w14:paraId="1EE2B105" w14:textId="77777777" w:rsidTr="003B2F06">
        <w:trPr>
          <w:trHeight w:val="660"/>
        </w:trPr>
        <w:tc>
          <w:tcPr>
            <w:tcW w:w="540" w:type="dxa"/>
            <w:noWrap/>
            <w:vAlign w:val="center"/>
            <w:hideMark/>
          </w:tcPr>
          <w:p w14:paraId="019AB919" w14:textId="7A111D33"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85</w:t>
            </w:r>
          </w:p>
        </w:tc>
        <w:tc>
          <w:tcPr>
            <w:tcW w:w="565" w:type="dxa"/>
            <w:vAlign w:val="center"/>
            <w:hideMark/>
          </w:tcPr>
          <w:p w14:paraId="27BB92BB"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36</w:t>
            </w:r>
          </w:p>
        </w:tc>
        <w:tc>
          <w:tcPr>
            <w:tcW w:w="1183" w:type="dxa"/>
            <w:vAlign w:val="center"/>
            <w:hideMark/>
          </w:tcPr>
          <w:p w14:paraId="61F8CE93"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10.2 להסכם</w:t>
            </w:r>
          </w:p>
        </w:tc>
        <w:tc>
          <w:tcPr>
            <w:tcW w:w="4901" w:type="dxa"/>
            <w:hideMark/>
          </w:tcPr>
          <w:p w14:paraId="2119BD0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שיקול דעתו של המזמין הינו סובייקטיבי לחלוטין ואיננו יכול לשמש קנה מידה לגובה הנזק. גובה הנזק צריך להיקבע בידי ערכאה בלתי תלויה. בנסיבות אלה, אין מקום לעכב כספים על יסוד השערות סובייקטיביות. האמור ב זה נכון לגבי כל הים בהסכם שם מופיע המונח "שביעות רצון".</w:t>
            </w:r>
          </w:p>
        </w:tc>
        <w:tc>
          <w:tcPr>
            <w:tcW w:w="2037" w:type="dxa"/>
            <w:noWrap/>
            <w:hideMark/>
          </w:tcPr>
          <w:p w14:paraId="73765D3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אין שינוי במסמכי המכרז</w:t>
            </w:r>
          </w:p>
        </w:tc>
      </w:tr>
      <w:tr w:rsidR="00D65EC0" w:rsidRPr="00EF60AD" w14:paraId="366EFD1E" w14:textId="77777777" w:rsidTr="003B2F06">
        <w:trPr>
          <w:trHeight w:val="660"/>
        </w:trPr>
        <w:tc>
          <w:tcPr>
            <w:tcW w:w="540" w:type="dxa"/>
            <w:noWrap/>
            <w:vAlign w:val="center"/>
            <w:hideMark/>
          </w:tcPr>
          <w:p w14:paraId="79ADBC8B" w14:textId="1C1050C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86</w:t>
            </w:r>
          </w:p>
        </w:tc>
        <w:tc>
          <w:tcPr>
            <w:tcW w:w="565" w:type="dxa"/>
            <w:vAlign w:val="center"/>
            <w:hideMark/>
          </w:tcPr>
          <w:p w14:paraId="19271563"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36</w:t>
            </w:r>
          </w:p>
        </w:tc>
        <w:tc>
          <w:tcPr>
            <w:tcW w:w="1183" w:type="dxa"/>
            <w:vAlign w:val="center"/>
            <w:hideMark/>
          </w:tcPr>
          <w:p w14:paraId="0B6C383B"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11.1 להסכם</w:t>
            </w:r>
          </w:p>
        </w:tc>
        <w:tc>
          <w:tcPr>
            <w:tcW w:w="4901" w:type="dxa"/>
            <w:hideMark/>
          </w:tcPr>
          <w:p w14:paraId="51B5EAE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מבוקש כי בטרם יופסק מתן השירותים תינתן לקבלן שהות קצובה לתקן את ההפרה.</w:t>
            </w:r>
          </w:p>
        </w:tc>
        <w:tc>
          <w:tcPr>
            <w:tcW w:w="2037" w:type="dxa"/>
            <w:noWrap/>
            <w:hideMark/>
          </w:tcPr>
          <w:p w14:paraId="4B02687A"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המזמין יודיע לקבלן על כוונתו להפסיק את ההתקשרות מראש ובכתב</w:t>
            </w:r>
          </w:p>
        </w:tc>
      </w:tr>
      <w:tr w:rsidR="00D65EC0" w:rsidRPr="00EF60AD" w14:paraId="7FFE8737" w14:textId="77777777" w:rsidTr="003B2F06">
        <w:trPr>
          <w:trHeight w:val="330"/>
        </w:trPr>
        <w:tc>
          <w:tcPr>
            <w:tcW w:w="540" w:type="dxa"/>
            <w:noWrap/>
            <w:vAlign w:val="center"/>
            <w:hideMark/>
          </w:tcPr>
          <w:p w14:paraId="5AF137D8" w14:textId="6F66CFBA"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87</w:t>
            </w:r>
          </w:p>
        </w:tc>
        <w:tc>
          <w:tcPr>
            <w:tcW w:w="565" w:type="dxa"/>
            <w:noWrap/>
            <w:vAlign w:val="center"/>
            <w:hideMark/>
          </w:tcPr>
          <w:p w14:paraId="72F85266"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36</w:t>
            </w:r>
          </w:p>
        </w:tc>
        <w:tc>
          <w:tcPr>
            <w:tcW w:w="1183" w:type="dxa"/>
            <w:noWrap/>
            <w:vAlign w:val="center"/>
            <w:hideMark/>
          </w:tcPr>
          <w:p w14:paraId="3B7E19B4"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11.1 להסכם</w:t>
            </w:r>
          </w:p>
        </w:tc>
        <w:tc>
          <w:tcPr>
            <w:tcW w:w="4901" w:type="dxa"/>
            <w:hideMark/>
          </w:tcPr>
          <w:p w14:paraId="6FACD199"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כי במקרה זה על מזמין העבודה לאפשר לקבלן לבדוק את הנושא בטרם יפסיק את מתן השירותים</w:t>
            </w:r>
          </w:p>
        </w:tc>
        <w:tc>
          <w:tcPr>
            <w:tcW w:w="2037" w:type="dxa"/>
            <w:noWrap/>
            <w:hideMark/>
          </w:tcPr>
          <w:p w14:paraId="53F1D829" w14:textId="74947D5E"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אין שינוי במסמכי המכרז. </w:t>
            </w:r>
          </w:p>
        </w:tc>
      </w:tr>
      <w:tr w:rsidR="00D65EC0" w:rsidRPr="00EF60AD" w14:paraId="3EE83153" w14:textId="77777777" w:rsidTr="003B2F06">
        <w:trPr>
          <w:trHeight w:val="330"/>
        </w:trPr>
        <w:tc>
          <w:tcPr>
            <w:tcW w:w="540" w:type="dxa"/>
            <w:noWrap/>
            <w:vAlign w:val="center"/>
            <w:hideMark/>
          </w:tcPr>
          <w:p w14:paraId="62963F84" w14:textId="55A3F5F9"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88</w:t>
            </w:r>
          </w:p>
        </w:tc>
        <w:tc>
          <w:tcPr>
            <w:tcW w:w="565" w:type="dxa"/>
            <w:noWrap/>
            <w:vAlign w:val="center"/>
            <w:hideMark/>
          </w:tcPr>
          <w:p w14:paraId="390F9294"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36</w:t>
            </w:r>
          </w:p>
        </w:tc>
        <w:tc>
          <w:tcPr>
            <w:tcW w:w="1183" w:type="dxa"/>
            <w:noWrap/>
            <w:vAlign w:val="center"/>
            <w:hideMark/>
          </w:tcPr>
          <w:p w14:paraId="257719A0"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11.4 להסכם</w:t>
            </w:r>
          </w:p>
        </w:tc>
        <w:tc>
          <w:tcPr>
            <w:tcW w:w="4901" w:type="dxa"/>
            <w:hideMark/>
          </w:tcPr>
          <w:p w14:paraId="651ECB24"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להוריד סעיף זה. לא ברור לנו כיצד יוכל המזמין לכמת נזק לכסף</w:t>
            </w:r>
          </w:p>
        </w:tc>
        <w:tc>
          <w:tcPr>
            <w:tcW w:w="2037" w:type="dxa"/>
            <w:noWrap/>
            <w:hideMark/>
          </w:tcPr>
          <w:p w14:paraId="696410DF"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24C9BC6F" w14:textId="77777777" w:rsidTr="003B2F06">
        <w:trPr>
          <w:trHeight w:val="660"/>
        </w:trPr>
        <w:tc>
          <w:tcPr>
            <w:tcW w:w="540" w:type="dxa"/>
            <w:noWrap/>
            <w:vAlign w:val="center"/>
            <w:hideMark/>
          </w:tcPr>
          <w:p w14:paraId="6CB90FB9" w14:textId="06C48AC5"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lastRenderedPageBreak/>
              <w:t>89</w:t>
            </w:r>
          </w:p>
        </w:tc>
        <w:tc>
          <w:tcPr>
            <w:tcW w:w="565" w:type="dxa"/>
            <w:vAlign w:val="center"/>
            <w:hideMark/>
          </w:tcPr>
          <w:p w14:paraId="129D0C7E"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36</w:t>
            </w:r>
          </w:p>
        </w:tc>
        <w:tc>
          <w:tcPr>
            <w:tcW w:w="1183" w:type="dxa"/>
            <w:vAlign w:val="center"/>
            <w:hideMark/>
          </w:tcPr>
          <w:p w14:paraId="2DF500FC"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11.6 להסכם</w:t>
            </w:r>
          </w:p>
        </w:tc>
        <w:tc>
          <w:tcPr>
            <w:tcW w:w="4901" w:type="dxa"/>
            <w:hideMark/>
          </w:tcPr>
          <w:p w14:paraId="2B339AC4"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הסכום הנקוב כפיצוי מוסכם הינו מוגזם </w:t>
            </w:r>
            <w:proofErr w:type="spellStart"/>
            <w:r w:rsidRPr="00EF60AD">
              <w:rPr>
                <w:rFonts w:ascii="David" w:hAnsi="David" w:cs="David"/>
                <w:szCs w:val="24"/>
                <w:rtl/>
                <w:lang w:eastAsia="en-US"/>
              </w:rPr>
              <w:t>לחומרא</w:t>
            </w:r>
            <w:proofErr w:type="spellEnd"/>
            <w:r w:rsidRPr="00EF60AD">
              <w:rPr>
                <w:rFonts w:ascii="David" w:hAnsi="David" w:cs="David"/>
                <w:szCs w:val="24"/>
                <w:rtl/>
                <w:lang w:eastAsia="en-US"/>
              </w:rPr>
              <w:t xml:space="preserve"> ואיננו עומד בשום יחס לנזקים העלולים להיגרם בשל הפרה. מבוקש להפחית את הסכום ל-.20,000 שקלים.</w:t>
            </w:r>
          </w:p>
        </w:tc>
        <w:tc>
          <w:tcPr>
            <w:tcW w:w="2037" w:type="dxa"/>
            <w:noWrap/>
            <w:hideMark/>
          </w:tcPr>
          <w:p w14:paraId="75C51529"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16D06294" w14:textId="77777777" w:rsidTr="003B2F06">
        <w:trPr>
          <w:trHeight w:val="660"/>
        </w:trPr>
        <w:tc>
          <w:tcPr>
            <w:tcW w:w="540" w:type="dxa"/>
            <w:noWrap/>
            <w:vAlign w:val="center"/>
            <w:hideMark/>
          </w:tcPr>
          <w:p w14:paraId="6A4EAF96" w14:textId="20F6052D"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90</w:t>
            </w:r>
          </w:p>
        </w:tc>
        <w:tc>
          <w:tcPr>
            <w:tcW w:w="565" w:type="dxa"/>
            <w:noWrap/>
            <w:vAlign w:val="center"/>
            <w:hideMark/>
          </w:tcPr>
          <w:p w14:paraId="67B2EF59"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36</w:t>
            </w:r>
          </w:p>
        </w:tc>
        <w:tc>
          <w:tcPr>
            <w:tcW w:w="1183" w:type="dxa"/>
            <w:noWrap/>
            <w:vAlign w:val="center"/>
            <w:hideMark/>
          </w:tcPr>
          <w:p w14:paraId="56950BB6"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11.7 להסכם</w:t>
            </w:r>
          </w:p>
        </w:tc>
        <w:tc>
          <w:tcPr>
            <w:tcW w:w="4901" w:type="dxa"/>
            <w:hideMark/>
          </w:tcPr>
          <w:p w14:paraId="2EEF31EA"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כי יוגדר בסעיף עניין לו"ז- "איחור של עד 7 ימי עסקים לא יהווה איחור לצורך סעיף זה. איחור שייגרם כתוצאה מנסיבות שאינן תלויות ביועץ או בשל מעשה/מחדל של המזמינה, לא ייחשב איחור לצורך סעיף זה" וכן נבקש לקיים בירור עם הקבלן טרם קיזוז סכום זה</w:t>
            </w:r>
          </w:p>
        </w:tc>
        <w:tc>
          <w:tcPr>
            <w:tcW w:w="2037" w:type="dxa"/>
            <w:noWrap/>
            <w:hideMark/>
          </w:tcPr>
          <w:p w14:paraId="295AADF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36880F6F" w14:textId="77777777" w:rsidTr="003B2F06">
        <w:trPr>
          <w:trHeight w:val="660"/>
        </w:trPr>
        <w:tc>
          <w:tcPr>
            <w:tcW w:w="540" w:type="dxa"/>
            <w:noWrap/>
            <w:vAlign w:val="center"/>
            <w:hideMark/>
          </w:tcPr>
          <w:p w14:paraId="536281AF" w14:textId="12D1BF56"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91</w:t>
            </w:r>
          </w:p>
        </w:tc>
        <w:tc>
          <w:tcPr>
            <w:tcW w:w="565" w:type="dxa"/>
            <w:vAlign w:val="center"/>
            <w:hideMark/>
          </w:tcPr>
          <w:p w14:paraId="05160014"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37</w:t>
            </w:r>
          </w:p>
        </w:tc>
        <w:tc>
          <w:tcPr>
            <w:tcW w:w="1183" w:type="dxa"/>
            <w:vAlign w:val="center"/>
            <w:hideMark/>
          </w:tcPr>
          <w:p w14:paraId="380DA927"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12.2 להסכם</w:t>
            </w:r>
          </w:p>
        </w:tc>
        <w:tc>
          <w:tcPr>
            <w:tcW w:w="4901" w:type="dxa"/>
            <w:hideMark/>
          </w:tcPr>
          <w:p w14:paraId="7F1F053F"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נא להוסיף בסוף ה "אלא אם נגרם הנזק בשל מעשה ו/או מחדל של המזמין או מי מטעמו".</w:t>
            </w:r>
          </w:p>
        </w:tc>
        <w:tc>
          <w:tcPr>
            <w:tcW w:w="2037" w:type="dxa"/>
            <w:noWrap/>
            <w:hideMark/>
          </w:tcPr>
          <w:p w14:paraId="6419380C"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46C7EEC0" w14:textId="77777777" w:rsidTr="003B2F06">
        <w:trPr>
          <w:trHeight w:val="330"/>
        </w:trPr>
        <w:tc>
          <w:tcPr>
            <w:tcW w:w="540" w:type="dxa"/>
            <w:noWrap/>
            <w:vAlign w:val="center"/>
            <w:hideMark/>
          </w:tcPr>
          <w:p w14:paraId="1CC4DE75" w14:textId="609802F4"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92</w:t>
            </w:r>
          </w:p>
        </w:tc>
        <w:tc>
          <w:tcPr>
            <w:tcW w:w="565" w:type="dxa"/>
            <w:noWrap/>
            <w:vAlign w:val="center"/>
            <w:hideMark/>
          </w:tcPr>
          <w:p w14:paraId="4796ECC5"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37</w:t>
            </w:r>
          </w:p>
        </w:tc>
        <w:tc>
          <w:tcPr>
            <w:tcW w:w="1183" w:type="dxa"/>
            <w:noWrap/>
            <w:vAlign w:val="center"/>
            <w:hideMark/>
          </w:tcPr>
          <w:p w14:paraId="0406193D"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12.3 להסכם</w:t>
            </w:r>
          </w:p>
        </w:tc>
        <w:tc>
          <w:tcPr>
            <w:tcW w:w="4901" w:type="dxa"/>
            <w:hideMark/>
          </w:tcPr>
          <w:p w14:paraId="7902DA33"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נבקש להוסיף: "למעט אם הוכח כי עובדי המזמין או הבאים מכוחו, גרמו לנזק"</w:t>
            </w:r>
          </w:p>
        </w:tc>
        <w:tc>
          <w:tcPr>
            <w:tcW w:w="2037" w:type="dxa"/>
            <w:noWrap/>
            <w:hideMark/>
          </w:tcPr>
          <w:p w14:paraId="7D79DAB3"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67F0300E" w14:textId="77777777" w:rsidTr="003B2F06">
        <w:trPr>
          <w:trHeight w:val="330"/>
        </w:trPr>
        <w:tc>
          <w:tcPr>
            <w:tcW w:w="540" w:type="dxa"/>
            <w:noWrap/>
            <w:vAlign w:val="center"/>
            <w:hideMark/>
          </w:tcPr>
          <w:p w14:paraId="7F1F20F9" w14:textId="6567FD64"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93</w:t>
            </w:r>
          </w:p>
        </w:tc>
        <w:tc>
          <w:tcPr>
            <w:tcW w:w="565" w:type="dxa"/>
            <w:noWrap/>
            <w:vAlign w:val="center"/>
            <w:hideMark/>
          </w:tcPr>
          <w:p w14:paraId="6840FFDE"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37</w:t>
            </w:r>
          </w:p>
        </w:tc>
        <w:tc>
          <w:tcPr>
            <w:tcW w:w="1183" w:type="dxa"/>
            <w:noWrap/>
            <w:vAlign w:val="center"/>
            <w:hideMark/>
          </w:tcPr>
          <w:p w14:paraId="20A4DAF7"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15.1 להסכם</w:t>
            </w:r>
          </w:p>
        </w:tc>
        <w:tc>
          <w:tcPr>
            <w:tcW w:w="4901" w:type="dxa"/>
            <w:hideMark/>
          </w:tcPr>
          <w:p w14:paraId="6F70FE1C"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נבקש כי איסור ההסבה יהיה הדדי </w:t>
            </w:r>
          </w:p>
        </w:tc>
        <w:tc>
          <w:tcPr>
            <w:tcW w:w="2037" w:type="dxa"/>
            <w:noWrap/>
            <w:hideMark/>
          </w:tcPr>
          <w:p w14:paraId="5CD163D8"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אין שינוי במסמכי המכרז</w:t>
            </w:r>
          </w:p>
        </w:tc>
      </w:tr>
      <w:tr w:rsidR="00D65EC0" w:rsidRPr="00EF60AD" w14:paraId="4F925881" w14:textId="77777777" w:rsidTr="003B2F06">
        <w:trPr>
          <w:trHeight w:val="1320"/>
        </w:trPr>
        <w:tc>
          <w:tcPr>
            <w:tcW w:w="540" w:type="dxa"/>
            <w:noWrap/>
            <w:vAlign w:val="center"/>
            <w:hideMark/>
          </w:tcPr>
          <w:p w14:paraId="04707A15" w14:textId="3F4E302E"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94</w:t>
            </w:r>
          </w:p>
        </w:tc>
        <w:tc>
          <w:tcPr>
            <w:tcW w:w="565" w:type="dxa"/>
            <w:noWrap/>
            <w:vAlign w:val="center"/>
            <w:hideMark/>
          </w:tcPr>
          <w:p w14:paraId="6A0827CE"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41</w:t>
            </w:r>
          </w:p>
        </w:tc>
        <w:tc>
          <w:tcPr>
            <w:tcW w:w="1183" w:type="dxa"/>
            <w:noWrap/>
            <w:vAlign w:val="center"/>
            <w:hideMark/>
          </w:tcPr>
          <w:p w14:paraId="55EC022B"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נספח ג' סעיף 3</w:t>
            </w:r>
          </w:p>
        </w:tc>
        <w:tc>
          <w:tcPr>
            <w:tcW w:w="4901" w:type="dxa"/>
            <w:hideMark/>
          </w:tcPr>
          <w:p w14:paraId="5A1C20E2"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הניסוח הקיים "כל גורם שהוא בתחום השירותים/הטובין נשוא מתן השירותים/הספקת הטובין" הוא רחב מידי, שכן חברה העוסקת בייעוץ אסטרטגי, כלכלי ו/או במתן שירותי מידענות לא תוכל על פי זה לעבוד בתחומי הפעולה שלה במהלך עבודתה תחת הסכם זה. נבקש במקום זה לציין כי אם מדובר בניגוד עניינים, מתחייבת החברה להודיע על כך למזמין ובעת הוצאת בקשה ייעודית, לא להגיש הצעה בנושא הרלבנטי. (חשוב לציין גם כי במקרה זה לא ירד הניקוד של החברה </w:t>
            </w:r>
            <w:proofErr w:type="spellStart"/>
            <w:r w:rsidRPr="00EF60AD">
              <w:rPr>
                <w:rFonts w:ascii="David" w:hAnsi="David" w:cs="David"/>
                <w:szCs w:val="24"/>
                <w:rtl/>
                <w:lang w:eastAsia="en-US"/>
              </w:rPr>
              <w:t>בתיחורים</w:t>
            </w:r>
            <w:proofErr w:type="spellEnd"/>
            <w:r w:rsidRPr="00EF60AD">
              <w:rPr>
                <w:rFonts w:ascii="David" w:hAnsi="David" w:cs="David"/>
                <w:szCs w:val="24"/>
                <w:rtl/>
                <w:lang w:eastAsia="en-US"/>
              </w:rPr>
              <w:t xml:space="preserve"> עתידיים במסגרת המאגר)</w:t>
            </w:r>
          </w:p>
        </w:tc>
        <w:tc>
          <w:tcPr>
            <w:tcW w:w="2037" w:type="dxa"/>
            <w:noWrap/>
            <w:hideMark/>
          </w:tcPr>
          <w:p w14:paraId="04266236"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אין שינוי במסמכי המכרז. תשומת לב המציעים לסיפא של סעיף זה המאפשרת למזמין לאשר מראש ובכתב לקבלן התקשרות מסוימת. </w:t>
            </w:r>
          </w:p>
        </w:tc>
      </w:tr>
      <w:tr w:rsidR="00D65EC0" w:rsidRPr="00EF60AD" w14:paraId="431C4DA4" w14:textId="77777777" w:rsidTr="003B2F06">
        <w:trPr>
          <w:trHeight w:val="660"/>
        </w:trPr>
        <w:tc>
          <w:tcPr>
            <w:tcW w:w="540" w:type="dxa"/>
            <w:noWrap/>
            <w:vAlign w:val="center"/>
            <w:hideMark/>
          </w:tcPr>
          <w:p w14:paraId="3C5A311E" w14:textId="1B25221E"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95</w:t>
            </w:r>
          </w:p>
        </w:tc>
        <w:tc>
          <w:tcPr>
            <w:tcW w:w="565" w:type="dxa"/>
            <w:noWrap/>
            <w:vAlign w:val="center"/>
            <w:hideMark/>
          </w:tcPr>
          <w:p w14:paraId="6B1B2715"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43</w:t>
            </w:r>
          </w:p>
        </w:tc>
        <w:tc>
          <w:tcPr>
            <w:tcW w:w="1183" w:type="dxa"/>
            <w:noWrap/>
            <w:vAlign w:val="center"/>
            <w:hideMark/>
          </w:tcPr>
          <w:p w14:paraId="0BB75302"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נספח ד'</w:t>
            </w:r>
          </w:p>
        </w:tc>
        <w:tc>
          <w:tcPr>
            <w:tcW w:w="4901" w:type="dxa"/>
            <w:hideMark/>
          </w:tcPr>
          <w:p w14:paraId="12F8294E"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 xml:space="preserve">למיטב הבנתינו יש צורך לציין את אחוז ההנחה שיינתן בגין שעת עבודה, על פי תעריפי </w:t>
            </w:r>
            <w:proofErr w:type="spellStart"/>
            <w:r w:rsidRPr="00EF60AD">
              <w:rPr>
                <w:rFonts w:ascii="David" w:hAnsi="David" w:cs="David"/>
                <w:szCs w:val="24"/>
                <w:rtl/>
                <w:lang w:eastAsia="en-US"/>
              </w:rPr>
              <w:t>חשכ"ל</w:t>
            </w:r>
            <w:proofErr w:type="spellEnd"/>
            <w:r w:rsidRPr="00EF60AD">
              <w:rPr>
                <w:rFonts w:ascii="David" w:hAnsi="David" w:cs="David"/>
                <w:szCs w:val="24"/>
                <w:rtl/>
                <w:lang w:eastAsia="en-US"/>
              </w:rPr>
              <w:br/>
              <w:t xml:space="preserve">בנספח לא מופיע מקום למלא את אחוז ההנחה </w:t>
            </w:r>
          </w:p>
        </w:tc>
        <w:tc>
          <w:tcPr>
            <w:tcW w:w="2037" w:type="dxa"/>
            <w:noWrap/>
            <w:hideMark/>
          </w:tcPr>
          <w:p w14:paraId="555543F1"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נוסף למסמכי המכרז נספח הצעת מחיר. </w:t>
            </w:r>
          </w:p>
        </w:tc>
      </w:tr>
      <w:tr w:rsidR="00D65EC0" w:rsidRPr="00EF60AD" w14:paraId="546F4E56" w14:textId="77777777" w:rsidTr="003B2F06">
        <w:trPr>
          <w:trHeight w:val="2640"/>
        </w:trPr>
        <w:tc>
          <w:tcPr>
            <w:tcW w:w="540" w:type="dxa"/>
            <w:noWrap/>
            <w:vAlign w:val="center"/>
            <w:hideMark/>
          </w:tcPr>
          <w:p w14:paraId="2FDB654B" w14:textId="15A934D1"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96</w:t>
            </w:r>
          </w:p>
        </w:tc>
        <w:tc>
          <w:tcPr>
            <w:tcW w:w="565" w:type="dxa"/>
            <w:noWrap/>
            <w:vAlign w:val="center"/>
            <w:hideMark/>
          </w:tcPr>
          <w:p w14:paraId="0EC9CA7C"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43</w:t>
            </w:r>
          </w:p>
        </w:tc>
        <w:tc>
          <w:tcPr>
            <w:tcW w:w="1183" w:type="dxa"/>
            <w:noWrap/>
            <w:vAlign w:val="center"/>
            <w:hideMark/>
          </w:tcPr>
          <w:p w14:paraId="6E69C186"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נספח ד'</w:t>
            </w:r>
          </w:p>
        </w:tc>
        <w:tc>
          <w:tcPr>
            <w:tcW w:w="4901" w:type="dxa"/>
            <w:hideMark/>
          </w:tcPr>
          <w:p w14:paraId="6A3220A5" w14:textId="77777777" w:rsidR="00D65EC0" w:rsidRPr="00EF60AD" w:rsidRDefault="00D65EC0" w:rsidP="00EF60AD">
            <w:pPr>
              <w:spacing w:after="260" w:line="360" w:lineRule="auto"/>
              <w:jc w:val="left"/>
              <w:rPr>
                <w:rFonts w:ascii="David" w:hAnsi="David" w:cs="David"/>
                <w:szCs w:val="24"/>
                <w:rtl/>
                <w:lang w:eastAsia="en-US"/>
              </w:rPr>
            </w:pPr>
            <w:r w:rsidRPr="00EF60AD">
              <w:rPr>
                <w:rFonts w:ascii="David" w:hAnsi="David" w:cs="David"/>
                <w:szCs w:val="24"/>
                <w:rtl/>
                <w:lang w:eastAsia="en-US"/>
              </w:rPr>
              <w:t xml:space="preserve">במכרז נרשם כי חלק משיקולי בחירת הזוכים במכרז שבנדון הוא 10% גובה אחוז ההנחה מתעריפי </w:t>
            </w:r>
            <w:proofErr w:type="spellStart"/>
            <w:r w:rsidRPr="00EF60AD">
              <w:rPr>
                <w:rFonts w:ascii="David" w:hAnsi="David" w:cs="David"/>
                <w:szCs w:val="24"/>
                <w:rtl/>
                <w:lang w:eastAsia="en-US"/>
              </w:rPr>
              <w:t>חשכ"ל</w:t>
            </w:r>
            <w:proofErr w:type="spellEnd"/>
            <w:r w:rsidRPr="00EF60AD">
              <w:rPr>
                <w:rFonts w:ascii="David" w:hAnsi="David" w:cs="David"/>
                <w:szCs w:val="24"/>
                <w:rtl/>
                <w:lang w:eastAsia="en-US"/>
              </w:rPr>
              <w:t>. עם זאת, נרשם כי קיימים שני סוגים של הצעות עבודה לזוכים במכרז המסגרת:</w:t>
            </w:r>
            <w:r w:rsidRPr="00EF60AD">
              <w:rPr>
                <w:rFonts w:ascii="David" w:hAnsi="David" w:cs="David"/>
                <w:szCs w:val="24"/>
                <w:rtl/>
                <w:lang w:eastAsia="en-US"/>
              </w:rPr>
              <w:br/>
              <w:t xml:space="preserve">א. הצעות עבודה שהתמורה בהם מוגדרת לפי שירותי יעוץ הניתנים על פי תפוקה, כאשר במסגרת הצעת המחיר צריך לציין מה התמורה המבוקשת לביצוע העבודה בכללותה. ב. הצעות עבודה שהתמורה בהם </w:t>
            </w:r>
            <w:r w:rsidRPr="00EF60AD">
              <w:rPr>
                <w:rFonts w:ascii="David" w:hAnsi="David" w:cs="David"/>
                <w:szCs w:val="24"/>
                <w:rtl/>
                <w:lang w:eastAsia="en-US"/>
              </w:rPr>
              <w:lastRenderedPageBreak/>
              <w:t>מוגדרת על פי שעה, כאשר במסגרת הצעת המחיר צריך לציין מה אחוז ההנחה המוצע לשעת עבודה של חברי הצוות.</w:t>
            </w:r>
            <w:r w:rsidRPr="00EF60AD">
              <w:rPr>
                <w:rFonts w:ascii="David" w:hAnsi="David" w:cs="David"/>
                <w:szCs w:val="24"/>
                <w:rtl/>
                <w:lang w:eastAsia="en-US"/>
              </w:rPr>
              <w:br/>
              <w:t>מה המשמעות של אחוז ההנחה שאנו מציעים בשלב זה?</w:t>
            </w:r>
          </w:p>
        </w:tc>
        <w:tc>
          <w:tcPr>
            <w:tcW w:w="2037" w:type="dxa"/>
            <w:noWrap/>
            <w:hideMark/>
          </w:tcPr>
          <w:p w14:paraId="201B5A98"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lastRenderedPageBreak/>
              <w:t xml:space="preserve">בשלב הגשת ההצעות למכרז המסגרת יש להגיש רק הצעת מחיר עבור הייעוץ השעתי. </w:t>
            </w:r>
          </w:p>
        </w:tc>
      </w:tr>
      <w:tr w:rsidR="00D65EC0" w:rsidRPr="00EF60AD" w14:paraId="1D2474DF" w14:textId="77777777" w:rsidTr="003B2F06">
        <w:trPr>
          <w:trHeight w:val="330"/>
        </w:trPr>
        <w:tc>
          <w:tcPr>
            <w:tcW w:w="540" w:type="dxa"/>
            <w:noWrap/>
            <w:vAlign w:val="center"/>
            <w:hideMark/>
          </w:tcPr>
          <w:p w14:paraId="4D1D2045" w14:textId="3F2982A8"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97</w:t>
            </w:r>
          </w:p>
        </w:tc>
        <w:tc>
          <w:tcPr>
            <w:tcW w:w="565" w:type="dxa"/>
            <w:noWrap/>
            <w:vAlign w:val="center"/>
            <w:hideMark/>
          </w:tcPr>
          <w:p w14:paraId="716BC789"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44</w:t>
            </w:r>
          </w:p>
        </w:tc>
        <w:tc>
          <w:tcPr>
            <w:tcW w:w="1183" w:type="dxa"/>
            <w:noWrap/>
            <w:vAlign w:val="center"/>
            <w:hideMark/>
          </w:tcPr>
          <w:p w14:paraId="4ED2D61E"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נספח ד'</w:t>
            </w:r>
          </w:p>
        </w:tc>
        <w:tc>
          <w:tcPr>
            <w:tcW w:w="4901" w:type="dxa"/>
            <w:hideMark/>
          </w:tcPr>
          <w:p w14:paraId="096D26C7"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התעריפים המופיעים בנספח אינם מעודכנים. נבקש לציין את התעריפים המעודכנים</w:t>
            </w:r>
          </w:p>
        </w:tc>
        <w:tc>
          <w:tcPr>
            <w:tcW w:w="2037" w:type="dxa"/>
            <w:noWrap/>
            <w:hideMark/>
          </w:tcPr>
          <w:p w14:paraId="3B7546A8" w14:textId="20DE63F8"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 xml:space="preserve">את אחוז ההנחה המוצע על ידי המציע יש לחשב מתעריפי החשב הכללי המעודכנים ליום הגשת ההצעות. </w:t>
            </w:r>
          </w:p>
        </w:tc>
      </w:tr>
      <w:tr w:rsidR="00D65EC0" w:rsidRPr="00EF60AD" w14:paraId="7FB5A946" w14:textId="77777777" w:rsidTr="003B2F06">
        <w:trPr>
          <w:trHeight w:val="330"/>
        </w:trPr>
        <w:tc>
          <w:tcPr>
            <w:tcW w:w="540" w:type="dxa"/>
            <w:noWrap/>
            <w:vAlign w:val="center"/>
            <w:hideMark/>
          </w:tcPr>
          <w:p w14:paraId="247E94B3" w14:textId="115F1178"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98</w:t>
            </w:r>
          </w:p>
        </w:tc>
        <w:tc>
          <w:tcPr>
            <w:tcW w:w="565" w:type="dxa"/>
            <w:noWrap/>
            <w:vAlign w:val="center"/>
            <w:hideMark/>
          </w:tcPr>
          <w:p w14:paraId="271B6CAC" w14:textId="77777777" w:rsidR="00D65EC0" w:rsidRPr="00EF60AD" w:rsidRDefault="00D65EC0" w:rsidP="00EF60AD">
            <w:pPr>
              <w:bidi w:val="0"/>
              <w:spacing w:line="360" w:lineRule="auto"/>
              <w:jc w:val="center"/>
              <w:rPr>
                <w:rFonts w:ascii="David" w:hAnsi="David" w:cs="David"/>
                <w:color w:val="000000"/>
                <w:szCs w:val="24"/>
                <w:rtl/>
                <w:lang w:eastAsia="en-US"/>
              </w:rPr>
            </w:pPr>
            <w:r w:rsidRPr="00EF60AD">
              <w:rPr>
                <w:rFonts w:ascii="David" w:hAnsi="David" w:cs="David"/>
                <w:color w:val="000000"/>
                <w:szCs w:val="24"/>
                <w:lang w:eastAsia="en-US"/>
              </w:rPr>
              <w:t>49</w:t>
            </w:r>
          </w:p>
        </w:tc>
        <w:tc>
          <w:tcPr>
            <w:tcW w:w="1183" w:type="dxa"/>
            <w:vAlign w:val="center"/>
            <w:hideMark/>
          </w:tcPr>
          <w:p w14:paraId="6224CD90" w14:textId="77777777" w:rsidR="00D65EC0" w:rsidRPr="00EF60AD" w:rsidRDefault="00D65EC0" w:rsidP="00EF60AD">
            <w:pPr>
              <w:spacing w:line="360" w:lineRule="auto"/>
              <w:jc w:val="center"/>
              <w:rPr>
                <w:rFonts w:ascii="David" w:hAnsi="David" w:cs="David"/>
                <w:szCs w:val="24"/>
                <w:lang w:eastAsia="en-US"/>
              </w:rPr>
            </w:pPr>
            <w:r w:rsidRPr="00EF60AD">
              <w:rPr>
                <w:rFonts w:ascii="David" w:hAnsi="David" w:cs="David"/>
                <w:szCs w:val="24"/>
                <w:rtl/>
                <w:lang w:eastAsia="en-US"/>
              </w:rPr>
              <w:t>נספח ח'</w:t>
            </w:r>
          </w:p>
        </w:tc>
        <w:tc>
          <w:tcPr>
            <w:tcW w:w="4901" w:type="dxa"/>
            <w:hideMark/>
          </w:tcPr>
          <w:p w14:paraId="38EEE74D"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לא ברור מה עלינו למלא בעמודה תחום מקצועי בו עסק הפרויקט – האם הכוונה לתחומים מתוך הרשימה המופיעה בסעיף 5 ב?</w:t>
            </w:r>
          </w:p>
        </w:tc>
        <w:tc>
          <w:tcPr>
            <w:tcW w:w="2037" w:type="dxa"/>
            <w:noWrap/>
            <w:hideMark/>
          </w:tcPr>
          <w:p w14:paraId="402C5495" w14:textId="7777777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lang w:eastAsia="en-US"/>
              </w:rPr>
              <w:t> </w:t>
            </w:r>
            <w:r w:rsidRPr="00EF60AD">
              <w:rPr>
                <w:rFonts w:ascii="David" w:hAnsi="David" w:cs="David"/>
                <w:color w:val="000000"/>
                <w:szCs w:val="24"/>
                <w:rtl/>
                <w:lang w:eastAsia="en-US"/>
              </w:rPr>
              <w:t>לא, לפי שיקול דעת המציע לפרט מהו התחום המקצועי</w:t>
            </w:r>
          </w:p>
        </w:tc>
      </w:tr>
      <w:tr w:rsidR="00D65EC0" w:rsidRPr="00EF60AD" w14:paraId="35E1AA40" w14:textId="77777777" w:rsidTr="003B2F06">
        <w:trPr>
          <w:trHeight w:val="330"/>
        </w:trPr>
        <w:tc>
          <w:tcPr>
            <w:tcW w:w="540" w:type="dxa"/>
            <w:noWrap/>
            <w:vAlign w:val="center"/>
            <w:hideMark/>
          </w:tcPr>
          <w:p w14:paraId="2E1650DA" w14:textId="6EC26156" w:rsidR="00D65EC0" w:rsidRPr="00EF60AD" w:rsidRDefault="00D65EC0" w:rsidP="00EF60AD">
            <w:pPr>
              <w:spacing w:line="360" w:lineRule="auto"/>
              <w:jc w:val="center"/>
              <w:rPr>
                <w:rFonts w:ascii="David" w:hAnsi="David" w:cs="David"/>
                <w:color w:val="000000"/>
                <w:szCs w:val="24"/>
                <w:lang w:eastAsia="en-US"/>
              </w:rPr>
            </w:pPr>
            <w:r w:rsidRPr="00EF60AD">
              <w:rPr>
                <w:rFonts w:ascii="David" w:hAnsi="David" w:cs="David"/>
                <w:color w:val="000000"/>
                <w:szCs w:val="24"/>
                <w:rtl/>
              </w:rPr>
              <w:t>99</w:t>
            </w:r>
          </w:p>
        </w:tc>
        <w:tc>
          <w:tcPr>
            <w:tcW w:w="565" w:type="dxa"/>
            <w:vAlign w:val="center"/>
            <w:hideMark/>
          </w:tcPr>
          <w:p w14:paraId="29289410" w14:textId="77777777" w:rsidR="00D65EC0" w:rsidRPr="00EF60AD" w:rsidRDefault="00D65EC0" w:rsidP="00EF60AD">
            <w:pPr>
              <w:spacing w:line="360" w:lineRule="auto"/>
              <w:jc w:val="center"/>
              <w:rPr>
                <w:rFonts w:ascii="David" w:hAnsi="David" w:cs="David"/>
                <w:color w:val="000000"/>
                <w:szCs w:val="24"/>
                <w:rtl/>
                <w:lang w:eastAsia="en-US"/>
              </w:rPr>
            </w:pPr>
            <w:r w:rsidRPr="00EF60AD">
              <w:rPr>
                <w:rFonts w:ascii="David" w:hAnsi="David" w:cs="David"/>
                <w:color w:val="000000"/>
                <w:szCs w:val="24"/>
                <w:rtl/>
                <w:lang w:eastAsia="en-US"/>
              </w:rPr>
              <w:t>51</w:t>
            </w:r>
          </w:p>
        </w:tc>
        <w:tc>
          <w:tcPr>
            <w:tcW w:w="1183" w:type="dxa"/>
            <w:vAlign w:val="center"/>
            <w:hideMark/>
          </w:tcPr>
          <w:p w14:paraId="14C4EDA0" w14:textId="77777777" w:rsidR="00D65EC0" w:rsidRPr="00EF60AD" w:rsidRDefault="00D65EC0" w:rsidP="00EF60AD">
            <w:pPr>
              <w:spacing w:line="360" w:lineRule="auto"/>
              <w:jc w:val="center"/>
              <w:rPr>
                <w:rFonts w:ascii="David" w:hAnsi="David" w:cs="David"/>
                <w:szCs w:val="24"/>
                <w:rtl/>
                <w:lang w:eastAsia="en-US"/>
              </w:rPr>
            </w:pPr>
            <w:r w:rsidRPr="00EF60AD">
              <w:rPr>
                <w:rFonts w:ascii="David" w:hAnsi="David" w:cs="David"/>
                <w:szCs w:val="24"/>
                <w:rtl/>
                <w:lang w:eastAsia="en-US"/>
              </w:rPr>
              <w:t>נספח י'</w:t>
            </w:r>
          </w:p>
        </w:tc>
        <w:tc>
          <w:tcPr>
            <w:tcW w:w="4901" w:type="dxa"/>
            <w:hideMark/>
          </w:tcPr>
          <w:p w14:paraId="61DCD55C" w14:textId="77777777" w:rsidR="00D65EC0" w:rsidRPr="00EF60AD" w:rsidRDefault="00D65EC0" w:rsidP="00EF60AD">
            <w:pPr>
              <w:spacing w:line="360" w:lineRule="auto"/>
              <w:jc w:val="left"/>
              <w:rPr>
                <w:rFonts w:ascii="David" w:hAnsi="David" w:cs="David"/>
                <w:szCs w:val="24"/>
                <w:rtl/>
                <w:lang w:eastAsia="en-US"/>
              </w:rPr>
            </w:pPr>
            <w:r w:rsidRPr="00EF60AD">
              <w:rPr>
                <w:rFonts w:ascii="David" w:hAnsi="David" w:cs="David"/>
                <w:szCs w:val="24"/>
                <w:rtl/>
                <w:lang w:eastAsia="en-US"/>
              </w:rPr>
              <w:t>עמודת "המדיניות אשר נבחנו במסגרת הפרויקט", נא אשרו שהכוונה למדינות.</w:t>
            </w:r>
          </w:p>
        </w:tc>
        <w:tc>
          <w:tcPr>
            <w:tcW w:w="2037" w:type="dxa"/>
            <w:noWrap/>
            <w:hideMark/>
          </w:tcPr>
          <w:p w14:paraId="6FF21A23" w14:textId="12C21B57" w:rsidR="00D65EC0" w:rsidRPr="00EF60AD" w:rsidRDefault="00D65EC0" w:rsidP="00EF60AD">
            <w:pPr>
              <w:spacing w:line="360" w:lineRule="auto"/>
              <w:rPr>
                <w:rFonts w:ascii="David" w:hAnsi="David" w:cs="David"/>
                <w:color w:val="000000"/>
                <w:szCs w:val="24"/>
                <w:rtl/>
                <w:lang w:eastAsia="en-US"/>
              </w:rPr>
            </w:pPr>
            <w:r w:rsidRPr="00EF60AD">
              <w:rPr>
                <w:rFonts w:ascii="David" w:hAnsi="David" w:cs="David"/>
                <w:color w:val="000000"/>
                <w:szCs w:val="24"/>
                <w:rtl/>
                <w:lang w:eastAsia="en-US"/>
              </w:rPr>
              <w:t>הכוונה למדינות</w:t>
            </w:r>
          </w:p>
        </w:tc>
      </w:tr>
    </w:tbl>
    <w:p w14:paraId="2D4D24B4" w14:textId="77777777" w:rsidR="00055D5D" w:rsidRPr="00EF60AD" w:rsidRDefault="00055D5D" w:rsidP="00EF60AD">
      <w:pPr>
        <w:spacing w:beforeLines="25" w:before="60" w:afterLines="25" w:after="60" w:line="360" w:lineRule="auto"/>
        <w:rPr>
          <w:rFonts w:ascii="David" w:hAnsi="David" w:cs="David"/>
          <w:szCs w:val="24"/>
        </w:rPr>
      </w:pPr>
    </w:p>
    <w:sectPr w:rsidR="00055D5D" w:rsidRPr="00EF60AD">
      <w:headerReference w:type="even" r:id="rId8"/>
      <w:headerReference w:type="default" r:id="rId9"/>
      <w:headerReference w:type="first" r:id="rId10"/>
      <w:footerReference w:type="first" r:id="rId11"/>
      <w:pgSz w:w="11907" w:h="16840" w:code="9"/>
      <w:pgMar w:top="1440" w:right="1797" w:bottom="1440" w:left="1797" w:header="720" w:footer="8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05F4B4" w14:textId="77777777" w:rsidR="00E0778F" w:rsidRDefault="00E0778F">
      <w:r>
        <w:separator/>
      </w:r>
    </w:p>
  </w:endnote>
  <w:endnote w:type="continuationSeparator" w:id="0">
    <w:p w14:paraId="18F15318" w14:textId="77777777" w:rsidR="00E0778F" w:rsidRDefault="00E077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7CBF4" w14:textId="77777777" w:rsidR="00F248C9" w:rsidRDefault="00F248C9" w:rsidP="00831E4F">
    <w:pPr>
      <w:pStyle w:val="NormalWeb"/>
      <w:pBdr>
        <w:top w:val="single" w:sz="6" w:space="1" w:color="auto"/>
      </w:pBdr>
      <w:tabs>
        <w:tab w:val="center" w:pos="4320"/>
        <w:tab w:val="right" w:pos="8313"/>
      </w:tabs>
      <w:bidi/>
      <w:jc w:val="both"/>
      <w:rPr>
        <w:rFonts w:cs="FrankRuehl"/>
      </w:rPr>
    </w:pPr>
    <w:r>
      <w:rPr>
        <w:rFonts w:cs="FrankRuehl" w:hint="cs"/>
        <w:sz w:val="20"/>
        <w:szCs w:val="26"/>
        <w:rtl/>
      </w:rPr>
      <w:t>רח' קפלן 1 ירושלים 9103002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0CB76360" wp14:editId="726C17C3">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p w14:paraId="77B82F8C" w14:textId="77777777" w:rsidR="00F248C9" w:rsidRPr="00831E4F" w:rsidRDefault="00F248C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A7BEA1" w14:textId="77777777" w:rsidR="00E0778F" w:rsidRDefault="00E0778F">
      <w:r>
        <w:separator/>
      </w:r>
    </w:p>
  </w:footnote>
  <w:footnote w:type="continuationSeparator" w:id="0">
    <w:p w14:paraId="614297D6" w14:textId="77777777" w:rsidR="00E0778F" w:rsidRDefault="00E077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E649B" w14:textId="77777777" w:rsidR="00F248C9" w:rsidRDefault="00F248C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1C863BCB" w14:textId="77777777" w:rsidR="00F248C9" w:rsidRDefault="00F248C9">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5816F" w14:textId="6EB1477B" w:rsidR="00F248C9" w:rsidRDefault="00F248C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sidR="002322CF">
      <w:rPr>
        <w:rStyle w:val="ad"/>
        <w:noProof/>
        <w:rtl/>
      </w:rPr>
      <w:t>2</w:t>
    </w:r>
    <w:r>
      <w:rPr>
        <w:rStyle w:val="ad"/>
        <w:rtl/>
      </w:rPr>
      <w:fldChar w:fldCharType="end"/>
    </w:r>
  </w:p>
  <w:p w14:paraId="65037C4D" w14:textId="77777777" w:rsidR="00F248C9" w:rsidRDefault="00F248C9">
    <w:pPr>
      <w:pStyle w:val="a9"/>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9F8F91" w14:textId="77777777" w:rsidR="00F248C9" w:rsidRDefault="00F248C9" w:rsidP="00C22DB9">
    <w:pPr>
      <w:pStyle w:val="a9"/>
      <w:jc w:val="center"/>
      <w:rPr>
        <w:b w:val="0"/>
        <w:bCs w:val="0"/>
        <w:szCs w:val="40"/>
        <w:rtl/>
      </w:rPr>
    </w:pPr>
    <w:r>
      <w:rPr>
        <w:b w:val="0"/>
        <w:bCs w:val="0"/>
        <w:szCs w:val="40"/>
        <w:rtl/>
      </w:rPr>
      <w:t>מדינת ישראל</w:t>
    </w:r>
  </w:p>
  <w:p w14:paraId="6D53B884" w14:textId="77777777" w:rsidR="00F248C9" w:rsidRPr="006D6025" w:rsidRDefault="00F248C9" w:rsidP="00C22DB9">
    <w:pPr>
      <w:pStyle w:val="a9"/>
      <w:jc w:val="center"/>
      <w:rPr>
        <w:rtl/>
      </w:rPr>
    </w:pPr>
    <w:r>
      <w:rPr>
        <w:rFonts w:hint="cs"/>
        <w:b w:val="0"/>
        <w:bCs w:val="0"/>
        <w:szCs w:val="32"/>
        <w:rtl/>
      </w:rPr>
      <w:t>משרד האוצר - אגף תקציבים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D15A6"/>
    <w:multiLevelType w:val="hybridMultilevel"/>
    <w:tmpl w:val="2EF49E2C"/>
    <w:lvl w:ilvl="0" w:tplc="EA1CF3D8">
      <w:numFmt w:val="bullet"/>
      <w:lvlText w:val=""/>
      <w:lvlJc w:val="left"/>
      <w:pPr>
        <w:ind w:left="720" w:hanging="360"/>
      </w:pPr>
      <w:rPr>
        <w:rFonts w:ascii="Symbol" w:eastAsia="Times New Roman" w:hAnsi="Symbol" w:cs="FrankRuehl" w:hint="default"/>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1377BB"/>
    <w:multiLevelType w:val="hybridMultilevel"/>
    <w:tmpl w:val="213C504A"/>
    <w:lvl w:ilvl="0" w:tplc="B98A6146">
      <w:start w:val="1"/>
      <w:numFmt w:val="bullet"/>
      <w:lvlText w:val=""/>
      <w:lvlJc w:val="left"/>
      <w:pPr>
        <w:ind w:left="720" w:hanging="360"/>
      </w:pPr>
      <w:rPr>
        <w:rFonts w:ascii="Symbol" w:eastAsia="Calibr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C9C696C"/>
    <w:multiLevelType w:val="hybridMultilevel"/>
    <w:tmpl w:val="2D349F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B15AD2"/>
    <w:multiLevelType w:val="hybridMultilevel"/>
    <w:tmpl w:val="41746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B82797"/>
    <w:multiLevelType w:val="multilevel"/>
    <w:tmpl w:val="CB2CFB36"/>
    <w:numStyleLink w:val="-"/>
  </w:abstractNum>
  <w:abstractNum w:abstractNumId="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2A205D5"/>
    <w:multiLevelType w:val="hybridMultilevel"/>
    <w:tmpl w:val="DA9C2DD8"/>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C8249D"/>
    <w:multiLevelType w:val="hybridMultilevel"/>
    <w:tmpl w:val="AED80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4B0619"/>
    <w:multiLevelType w:val="hybridMultilevel"/>
    <w:tmpl w:val="7F10FA86"/>
    <w:lvl w:ilvl="0" w:tplc="792E40F8">
      <w:start w:val="1"/>
      <w:numFmt w:val="decimal"/>
      <w:lvlText w:val="%1."/>
      <w:lvlJc w:val="left"/>
      <w:pPr>
        <w:ind w:left="720" w:hanging="360"/>
      </w:pPr>
      <w:rPr>
        <w:rFonts w:ascii="Times New Roman" w:eastAsiaTheme="minorHAnsi" w:hAnsi="Times New Roman" w:cs="FrankRuehl"/>
      </w:rPr>
    </w:lvl>
    <w:lvl w:ilvl="1" w:tplc="792E40F8">
      <w:start w:val="1"/>
      <w:numFmt w:val="decimal"/>
      <w:lvlText w:val="%2."/>
      <w:lvlJc w:val="left"/>
      <w:pPr>
        <w:ind w:left="1440" w:hanging="360"/>
      </w:pPr>
      <w:rPr>
        <w:rFonts w:ascii="Times New Roman" w:eastAsiaTheme="minorHAnsi" w:hAnsi="Times New Roman" w:cs="FrankRueh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02A378">
      <w:start w:val="8"/>
      <w:numFmt w:val="decimal"/>
      <w:lvlText w:val="%6"/>
      <w:lvlJc w:val="left"/>
      <w:pPr>
        <w:ind w:left="4320" w:hanging="360"/>
      </w:pPr>
      <w:rPr>
        <w:rFonts w:hint="default"/>
        <w:b/>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6196942"/>
    <w:multiLevelType w:val="hybridMultilevel"/>
    <w:tmpl w:val="F13C10FE"/>
    <w:lvl w:ilvl="0" w:tplc="C2C4866E">
      <w:start w:val="1"/>
      <w:numFmt w:val="hebrew1"/>
      <w:lvlText w:val="%1."/>
      <w:lvlJc w:val="left"/>
      <w:pPr>
        <w:ind w:left="720" w:hanging="360"/>
      </w:pPr>
      <w:rPr>
        <w:rFonts w:hint="default"/>
      </w:rPr>
    </w:lvl>
    <w:lvl w:ilvl="1" w:tplc="37A06B58">
      <w:start w:val="1"/>
      <w:numFmt w:val="decimal"/>
      <w:lvlText w:val="%2."/>
      <w:lvlJc w:val="left"/>
      <w:pPr>
        <w:ind w:left="1440" w:hanging="360"/>
      </w:pPr>
      <w:rPr>
        <w:rFonts w:ascii="Times New Roman" w:eastAsia="Times New Roman" w:hAnsi="Times New Roman" w:cs="FrankRueh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70493A"/>
    <w:multiLevelType w:val="hybridMultilevel"/>
    <w:tmpl w:val="7DAE10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195C08F0"/>
    <w:multiLevelType w:val="hybridMultilevel"/>
    <w:tmpl w:val="F9BE78B0"/>
    <w:lvl w:ilvl="0" w:tplc="BEE040EC">
      <w:start w:val="15"/>
      <w:numFmt w:val="bullet"/>
      <w:lvlText w:val=""/>
      <w:lvlJc w:val="left"/>
      <w:pPr>
        <w:ind w:left="720" w:hanging="360"/>
      </w:pPr>
      <w:rPr>
        <w:rFonts w:ascii="Symbol" w:eastAsia="Times New Roman" w:hAnsi="Symbo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ECE72BB"/>
    <w:multiLevelType w:val="hybridMultilevel"/>
    <w:tmpl w:val="A2CC1E5E"/>
    <w:lvl w:ilvl="0" w:tplc="5ACCD4F8">
      <w:start w:val="1"/>
      <w:numFmt w:val="bullet"/>
      <w:lvlText w:val="•"/>
      <w:lvlJc w:val="left"/>
      <w:pPr>
        <w:tabs>
          <w:tab w:val="num" w:pos="720"/>
        </w:tabs>
        <w:ind w:left="720" w:hanging="360"/>
      </w:pPr>
      <w:rPr>
        <w:rFonts w:ascii="Times New Roman" w:hAnsi="Times New Roman" w:hint="default"/>
      </w:rPr>
    </w:lvl>
    <w:lvl w:ilvl="1" w:tplc="C66CB46C">
      <w:start w:val="123"/>
      <w:numFmt w:val="bullet"/>
      <w:lvlText w:val="•"/>
      <w:lvlJc w:val="left"/>
      <w:pPr>
        <w:tabs>
          <w:tab w:val="num" w:pos="1440"/>
        </w:tabs>
        <w:ind w:left="1440" w:hanging="360"/>
      </w:pPr>
      <w:rPr>
        <w:rFonts w:ascii="Times New Roman" w:hAnsi="Times New Roman" w:hint="default"/>
      </w:rPr>
    </w:lvl>
    <w:lvl w:ilvl="2" w:tplc="0BAC2F80" w:tentative="1">
      <w:start w:val="1"/>
      <w:numFmt w:val="bullet"/>
      <w:lvlText w:val="•"/>
      <w:lvlJc w:val="left"/>
      <w:pPr>
        <w:tabs>
          <w:tab w:val="num" w:pos="2160"/>
        </w:tabs>
        <w:ind w:left="2160" w:hanging="360"/>
      </w:pPr>
      <w:rPr>
        <w:rFonts w:ascii="Times New Roman" w:hAnsi="Times New Roman" w:hint="default"/>
      </w:rPr>
    </w:lvl>
    <w:lvl w:ilvl="3" w:tplc="CF56CAF0" w:tentative="1">
      <w:start w:val="1"/>
      <w:numFmt w:val="bullet"/>
      <w:lvlText w:val="•"/>
      <w:lvlJc w:val="left"/>
      <w:pPr>
        <w:tabs>
          <w:tab w:val="num" w:pos="2880"/>
        </w:tabs>
        <w:ind w:left="2880" w:hanging="360"/>
      </w:pPr>
      <w:rPr>
        <w:rFonts w:ascii="Times New Roman" w:hAnsi="Times New Roman" w:hint="default"/>
      </w:rPr>
    </w:lvl>
    <w:lvl w:ilvl="4" w:tplc="12ACB6DA" w:tentative="1">
      <w:start w:val="1"/>
      <w:numFmt w:val="bullet"/>
      <w:lvlText w:val="•"/>
      <w:lvlJc w:val="left"/>
      <w:pPr>
        <w:tabs>
          <w:tab w:val="num" w:pos="3600"/>
        </w:tabs>
        <w:ind w:left="3600" w:hanging="360"/>
      </w:pPr>
      <w:rPr>
        <w:rFonts w:ascii="Times New Roman" w:hAnsi="Times New Roman" w:hint="default"/>
      </w:rPr>
    </w:lvl>
    <w:lvl w:ilvl="5" w:tplc="52D2DAF4" w:tentative="1">
      <w:start w:val="1"/>
      <w:numFmt w:val="bullet"/>
      <w:lvlText w:val="•"/>
      <w:lvlJc w:val="left"/>
      <w:pPr>
        <w:tabs>
          <w:tab w:val="num" w:pos="4320"/>
        </w:tabs>
        <w:ind w:left="4320" w:hanging="360"/>
      </w:pPr>
      <w:rPr>
        <w:rFonts w:ascii="Times New Roman" w:hAnsi="Times New Roman" w:hint="default"/>
      </w:rPr>
    </w:lvl>
    <w:lvl w:ilvl="6" w:tplc="515236CA" w:tentative="1">
      <w:start w:val="1"/>
      <w:numFmt w:val="bullet"/>
      <w:lvlText w:val="•"/>
      <w:lvlJc w:val="left"/>
      <w:pPr>
        <w:tabs>
          <w:tab w:val="num" w:pos="5040"/>
        </w:tabs>
        <w:ind w:left="5040" w:hanging="360"/>
      </w:pPr>
      <w:rPr>
        <w:rFonts w:ascii="Times New Roman" w:hAnsi="Times New Roman" w:hint="default"/>
      </w:rPr>
    </w:lvl>
    <w:lvl w:ilvl="7" w:tplc="52563B1E" w:tentative="1">
      <w:start w:val="1"/>
      <w:numFmt w:val="bullet"/>
      <w:lvlText w:val="•"/>
      <w:lvlJc w:val="left"/>
      <w:pPr>
        <w:tabs>
          <w:tab w:val="num" w:pos="5760"/>
        </w:tabs>
        <w:ind w:left="5760" w:hanging="360"/>
      </w:pPr>
      <w:rPr>
        <w:rFonts w:ascii="Times New Roman" w:hAnsi="Times New Roman" w:hint="default"/>
      </w:rPr>
    </w:lvl>
    <w:lvl w:ilvl="8" w:tplc="7FB48B74"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1143DA0"/>
    <w:multiLevelType w:val="hybridMultilevel"/>
    <w:tmpl w:val="4202B3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2A0C1C"/>
    <w:multiLevelType w:val="hybridMultilevel"/>
    <w:tmpl w:val="E5F474F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28E5607"/>
    <w:multiLevelType w:val="hybridMultilevel"/>
    <w:tmpl w:val="F7AC06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690D37"/>
    <w:multiLevelType w:val="multilevel"/>
    <w:tmpl w:val="2C7611E6"/>
    <w:numStyleLink w:val="-0"/>
  </w:abstractNum>
  <w:abstractNum w:abstractNumId="18" w15:restartNumberingAfterBreak="0">
    <w:nsid w:val="250C79F8"/>
    <w:multiLevelType w:val="hybridMultilevel"/>
    <w:tmpl w:val="EC60CD56"/>
    <w:lvl w:ilvl="0" w:tplc="6A2697E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B7D1B46"/>
    <w:multiLevelType w:val="hybridMultilevel"/>
    <w:tmpl w:val="C6842BFE"/>
    <w:lvl w:ilvl="0" w:tplc="CFCC58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BAB0470"/>
    <w:multiLevelType w:val="hybridMultilevel"/>
    <w:tmpl w:val="260CE1F0"/>
    <w:lvl w:ilvl="0" w:tplc="3182C7E8">
      <w:start w:val="1"/>
      <w:numFmt w:val="hebrew1"/>
      <w:lvlText w:val="%1."/>
      <w:lvlJc w:val="left"/>
      <w:pPr>
        <w:ind w:left="720" w:hanging="360"/>
      </w:pPr>
      <w:rPr>
        <w:rFonts w:ascii="Times New Roman" w:eastAsia="Times New Roman" w:hAnsi="Times New Roman" w:cs="FrankRueh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CCA06C1"/>
    <w:multiLevelType w:val="hybridMultilevel"/>
    <w:tmpl w:val="74D8F12C"/>
    <w:lvl w:ilvl="0" w:tplc="E8080AAC">
      <w:start w:val="1"/>
      <w:numFmt w:val="bullet"/>
      <w:lvlText w:val="•"/>
      <w:lvlJc w:val="left"/>
      <w:pPr>
        <w:tabs>
          <w:tab w:val="num" w:pos="720"/>
        </w:tabs>
        <w:ind w:left="720" w:hanging="360"/>
      </w:pPr>
      <w:rPr>
        <w:rFonts w:ascii="Times New Roman" w:hAnsi="Times New Roman" w:hint="default"/>
      </w:rPr>
    </w:lvl>
    <w:lvl w:ilvl="1" w:tplc="B4C6AECC">
      <w:start w:val="123"/>
      <w:numFmt w:val="bullet"/>
      <w:lvlText w:val="•"/>
      <w:lvlJc w:val="left"/>
      <w:pPr>
        <w:tabs>
          <w:tab w:val="num" w:pos="1440"/>
        </w:tabs>
        <w:ind w:left="1440" w:hanging="360"/>
      </w:pPr>
      <w:rPr>
        <w:rFonts w:ascii="Times New Roman" w:hAnsi="Times New Roman" w:hint="default"/>
      </w:rPr>
    </w:lvl>
    <w:lvl w:ilvl="2" w:tplc="6BDC6716" w:tentative="1">
      <w:start w:val="1"/>
      <w:numFmt w:val="bullet"/>
      <w:lvlText w:val="•"/>
      <w:lvlJc w:val="left"/>
      <w:pPr>
        <w:tabs>
          <w:tab w:val="num" w:pos="2160"/>
        </w:tabs>
        <w:ind w:left="2160" w:hanging="360"/>
      </w:pPr>
      <w:rPr>
        <w:rFonts w:ascii="Times New Roman" w:hAnsi="Times New Roman" w:hint="default"/>
      </w:rPr>
    </w:lvl>
    <w:lvl w:ilvl="3" w:tplc="393C35B0" w:tentative="1">
      <w:start w:val="1"/>
      <w:numFmt w:val="bullet"/>
      <w:lvlText w:val="•"/>
      <w:lvlJc w:val="left"/>
      <w:pPr>
        <w:tabs>
          <w:tab w:val="num" w:pos="2880"/>
        </w:tabs>
        <w:ind w:left="2880" w:hanging="360"/>
      </w:pPr>
      <w:rPr>
        <w:rFonts w:ascii="Times New Roman" w:hAnsi="Times New Roman" w:hint="default"/>
      </w:rPr>
    </w:lvl>
    <w:lvl w:ilvl="4" w:tplc="171A9C0A" w:tentative="1">
      <w:start w:val="1"/>
      <w:numFmt w:val="bullet"/>
      <w:lvlText w:val="•"/>
      <w:lvlJc w:val="left"/>
      <w:pPr>
        <w:tabs>
          <w:tab w:val="num" w:pos="3600"/>
        </w:tabs>
        <w:ind w:left="3600" w:hanging="360"/>
      </w:pPr>
      <w:rPr>
        <w:rFonts w:ascii="Times New Roman" w:hAnsi="Times New Roman" w:hint="default"/>
      </w:rPr>
    </w:lvl>
    <w:lvl w:ilvl="5" w:tplc="A38A6492" w:tentative="1">
      <w:start w:val="1"/>
      <w:numFmt w:val="bullet"/>
      <w:lvlText w:val="•"/>
      <w:lvlJc w:val="left"/>
      <w:pPr>
        <w:tabs>
          <w:tab w:val="num" w:pos="4320"/>
        </w:tabs>
        <w:ind w:left="4320" w:hanging="360"/>
      </w:pPr>
      <w:rPr>
        <w:rFonts w:ascii="Times New Roman" w:hAnsi="Times New Roman" w:hint="default"/>
      </w:rPr>
    </w:lvl>
    <w:lvl w:ilvl="6" w:tplc="B088C1B8" w:tentative="1">
      <w:start w:val="1"/>
      <w:numFmt w:val="bullet"/>
      <w:lvlText w:val="•"/>
      <w:lvlJc w:val="left"/>
      <w:pPr>
        <w:tabs>
          <w:tab w:val="num" w:pos="5040"/>
        </w:tabs>
        <w:ind w:left="5040" w:hanging="360"/>
      </w:pPr>
      <w:rPr>
        <w:rFonts w:ascii="Times New Roman" w:hAnsi="Times New Roman" w:hint="default"/>
      </w:rPr>
    </w:lvl>
    <w:lvl w:ilvl="7" w:tplc="207A33E8" w:tentative="1">
      <w:start w:val="1"/>
      <w:numFmt w:val="bullet"/>
      <w:lvlText w:val="•"/>
      <w:lvlJc w:val="left"/>
      <w:pPr>
        <w:tabs>
          <w:tab w:val="num" w:pos="5760"/>
        </w:tabs>
        <w:ind w:left="5760" w:hanging="360"/>
      </w:pPr>
      <w:rPr>
        <w:rFonts w:ascii="Times New Roman" w:hAnsi="Times New Roman" w:hint="default"/>
      </w:rPr>
    </w:lvl>
    <w:lvl w:ilvl="8" w:tplc="A5A2DC0C"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31D86A4E"/>
    <w:multiLevelType w:val="hybridMultilevel"/>
    <w:tmpl w:val="DA48BDDC"/>
    <w:lvl w:ilvl="0" w:tplc="04090013">
      <w:start w:val="1"/>
      <w:numFmt w:val="hebrew1"/>
      <w:lvlText w:val="%1."/>
      <w:lvlJc w:val="center"/>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4" w15:restartNumberingAfterBreak="0">
    <w:nsid w:val="3A465B5C"/>
    <w:multiLevelType w:val="hybridMultilevel"/>
    <w:tmpl w:val="1E7829AE"/>
    <w:lvl w:ilvl="0" w:tplc="4FA6F918">
      <w:start w:val="1"/>
      <w:numFmt w:val="bullet"/>
      <w:lvlText w:val="•"/>
      <w:lvlJc w:val="left"/>
      <w:pPr>
        <w:tabs>
          <w:tab w:val="num" w:pos="720"/>
        </w:tabs>
        <w:ind w:left="720" w:hanging="360"/>
      </w:pPr>
      <w:rPr>
        <w:rFonts w:ascii="Times New Roman" w:hAnsi="Times New Roman" w:hint="default"/>
      </w:rPr>
    </w:lvl>
    <w:lvl w:ilvl="1" w:tplc="AAD8CEFE" w:tentative="1">
      <w:start w:val="1"/>
      <w:numFmt w:val="bullet"/>
      <w:lvlText w:val="•"/>
      <w:lvlJc w:val="left"/>
      <w:pPr>
        <w:tabs>
          <w:tab w:val="num" w:pos="1440"/>
        </w:tabs>
        <w:ind w:left="1440" w:hanging="360"/>
      </w:pPr>
      <w:rPr>
        <w:rFonts w:ascii="Times New Roman" w:hAnsi="Times New Roman" w:hint="default"/>
      </w:rPr>
    </w:lvl>
    <w:lvl w:ilvl="2" w:tplc="957AE436" w:tentative="1">
      <w:start w:val="1"/>
      <w:numFmt w:val="bullet"/>
      <w:lvlText w:val="•"/>
      <w:lvlJc w:val="left"/>
      <w:pPr>
        <w:tabs>
          <w:tab w:val="num" w:pos="2160"/>
        </w:tabs>
        <w:ind w:left="2160" w:hanging="360"/>
      </w:pPr>
      <w:rPr>
        <w:rFonts w:ascii="Times New Roman" w:hAnsi="Times New Roman" w:hint="default"/>
      </w:rPr>
    </w:lvl>
    <w:lvl w:ilvl="3" w:tplc="97A04A44" w:tentative="1">
      <w:start w:val="1"/>
      <w:numFmt w:val="bullet"/>
      <w:lvlText w:val="•"/>
      <w:lvlJc w:val="left"/>
      <w:pPr>
        <w:tabs>
          <w:tab w:val="num" w:pos="2880"/>
        </w:tabs>
        <w:ind w:left="2880" w:hanging="360"/>
      </w:pPr>
      <w:rPr>
        <w:rFonts w:ascii="Times New Roman" w:hAnsi="Times New Roman" w:hint="default"/>
      </w:rPr>
    </w:lvl>
    <w:lvl w:ilvl="4" w:tplc="6388D7CC" w:tentative="1">
      <w:start w:val="1"/>
      <w:numFmt w:val="bullet"/>
      <w:lvlText w:val="•"/>
      <w:lvlJc w:val="left"/>
      <w:pPr>
        <w:tabs>
          <w:tab w:val="num" w:pos="3600"/>
        </w:tabs>
        <w:ind w:left="3600" w:hanging="360"/>
      </w:pPr>
      <w:rPr>
        <w:rFonts w:ascii="Times New Roman" w:hAnsi="Times New Roman" w:hint="default"/>
      </w:rPr>
    </w:lvl>
    <w:lvl w:ilvl="5" w:tplc="2CCACF5C" w:tentative="1">
      <w:start w:val="1"/>
      <w:numFmt w:val="bullet"/>
      <w:lvlText w:val="•"/>
      <w:lvlJc w:val="left"/>
      <w:pPr>
        <w:tabs>
          <w:tab w:val="num" w:pos="4320"/>
        </w:tabs>
        <w:ind w:left="4320" w:hanging="360"/>
      </w:pPr>
      <w:rPr>
        <w:rFonts w:ascii="Times New Roman" w:hAnsi="Times New Roman" w:hint="default"/>
      </w:rPr>
    </w:lvl>
    <w:lvl w:ilvl="6" w:tplc="AC46994A" w:tentative="1">
      <w:start w:val="1"/>
      <w:numFmt w:val="bullet"/>
      <w:lvlText w:val="•"/>
      <w:lvlJc w:val="left"/>
      <w:pPr>
        <w:tabs>
          <w:tab w:val="num" w:pos="5040"/>
        </w:tabs>
        <w:ind w:left="5040" w:hanging="360"/>
      </w:pPr>
      <w:rPr>
        <w:rFonts w:ascii="Times New Roman" w:hAnsi="Times New Roman" w:hint="default"/>
      </w:rPr>
    </w:lvl>
    <w:lvl w:ilvl="7" w:tplc="510C9ADE" w:tentative="1">
      <w:start w:val="1"/>
      <w:numFmt w:val="bullet"/>
      <w:lvlText w:val="•"/>
      <w:lvlJc w:val="left"/>
      <w:pPr>
        <w:tabs>
          <w:tab w:val="num" w:pos="5760"/>
        </w:tabs>
        <w:ind w:left="5760" w:hanging="360"/>
      </w:pPr>
      <w:rPr>
        <w:rFonts w:ascii="Times New Roman" w:hAnsi="Times New Roman" w:hint="default"/>
      </w:rPr>
    </w:lvl>
    <w:lvl w:ilvl="8" w:tplc="A734DF3A"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3FA56DE4"/>
    <w:multiLevelType w:val="hybridMultilevel"/>
    <w:tmpl w:val="0F9665DA"/>
    <w:lvl w:ilvl="0" w:tplc="BC4EA5A0">
      <w:start w:val="1"/>
      <w:numFmt w:val="bullet"/>
      <w:lvlText w:val="•"/>
      <w:lvlJc w:val="left"/>
      <w:pPr>
        <w:tabs>
          <w:tab w:val="num" w:pos="720"/>
        </w:tabs>
        <w:ind w:left="720" w:hanging="360"/>
      </w:pPr>
      <w:rPr>
        <w:rFonts w:ascii="Times New Roman" w:hAnsi="Times New Roman" w:hint="default"/>
      </w:rPr>
    </w:lvl>
    <w:lvl w:ilvl="1" w:tplc="6BA03E5A" w:tentative="1">
      <w:start w:val="1"/>
      <w:numFmt w:val="bullet"/>
      <w:lvlText w:val="•"/>
      <w:lvlJc w:val="left"/>
      <w:pPr>
        <w:tabs>
          <w:tab w:val="num" w:pos="1440"/>
        </w:tabs>
        <w:ind w:left="1440" w:hanging="360"/>
      </w:pPr>
      <w:rPr>
        <w:rFonts w:ascii="Times New Roman" w:hAnsi="Times New Roman" w:hint="default"/>
      </w:rPr>
    </w:lvl>
    <w:lvl w:ilvl="2" w:tplc="4DD8AEFC" w:tentative="1">
      <w:start w:val="1"/>
      <w:numFmt w:val="bullet"/>
      <w:lvlText w:val="•"/>
      <w:lvlJc w:val="left"/>
      <w:pPr>
        <w:tabs>
          <w:tab w:val="num" w:pos="2160"/>
        </w:tabs>
        <w:ind w:left="2160" w:hanging="360"/>
      </w:pPr>
      <w:rPr>
        <w:rFonts w:ascii="Times New Roman" w:hAnsi="Times New Roman" w:hint="default"/>
      </w:rPr>
    </w:lvl>
    <w:lvl w:ilvl="3" w:tplc="883CD85A" w:tentative="1">
      <w:start w:val="1"/>
      <w:numFmt w:val="bullet"/>
      <w:lvlText w:val="•"/>
      <w:lvlJc w:val="left"/>
      <w:pPr>
        <w:tabs>
          <w:tab w:val="num" w:pos="2880"/>
        </w:tabs>
        <w:ind w:left="2880" w:hanging="360"/>
      </w:pPr>
      <w:rPr>
        <w:rFonts w:ascii="Times New Roman" w:hAnsi="Times New Roman" w:hint="default"/>
      </w:rPr>
    </w:lvl>
    <w:lvl w:ilvl="4" w:tplc="7CA670A2" w:tentative="1">
      <w:start w:val="1"/>
      <w:numFmt w:val="bullet"/>
      <w:lvlText w:val="•"/>
      <w:lvlJc w:val="left"/>
      <w:pPr>
        <w:tabs>
          <w:tab w:val="num" w:pos="3600"/>
        </w:tabs>
        <w:ind w:left="3600" w:hanging="360"/>
      </w:pPr>
      <w:rPr>
        <w:rFonts w:ascii="Times New Roman" w:hAnsi="Times New Roman" w:hint="default"/>
      </w:rPr>
    </w:lvl>
    <w:lvl w:ilvl="5" w:tplc="8AFC4A2C" w:tentative="1">
      <w:start w:val="1"/>
      <w:numFmt w:val="bullet"/>
      <w:lvlText w:val="•"/>
      <w:lvlJc w:val="left"/>
      <w:pPr>
        <w:tabs>
          <w:tab w:val="num" w:pos="4320"/>
        </w:tabs>
        <w:ind w:left="4320" w:hanging="360"/>
      </w:pPr>
      <w:rPr>
        <w:rFonts w:ascii="Times New Roman" w:hAnsi="Times New Roman" w:hint="default"/>
      </w:rPr>
    </w:lvl>
    <w:lvl w:ilvl="6" w:tplc="DF00AC94" w:tentative="1">
      <w:start w:val="1"/>
      <w:numFmt w:val="bullet"/>
      <w:lvlText w:val="•"/>
      <w:lvlJc w:val="left"/>
      <w:pPr>
        <w:tabs>
          <w:tab w:val="num" w:pos="5040"/>
        </w:tabs>
        <w:ind w:left="5040" w:hanging="360"/>
      </w:pPr>
      <w:rPr>
        <w:rFonts w:ascii="Times New Roman" w:hAnsi="Times New Roman" w:hint="default"/>
      </w:rPr>
    </w:lvl>
    <w:lvl w:ilvl="7" w:tplc="42B2FF86" w:tentative="1">
      <w:start w:val="1"/>
      <w:numFmt w:val="bullet"/>
      <w:lvlText w:val="•"/>
      <w:lvlJc w:val="left"/>
      <w:pPr>
        <w:tabs>
          <w:tab w:val="num" w:pos="5760"/>
        </w:tabs>
        <w:ind w:left="5760" w:hanging="360"/>
      </w:pPr>
      <w:rPr>
        <w:rFonts w:ascii="Times New Roman" w:hAnsi="Times New Roman" w:hint="default"/>
      </w:rPr>
    </w:lvl>
    <w:lvl w:ilvl="8" w:tplc="60180BE2"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41842209"/>
    <w:multiLevelType w:val="hybridMultilevel"/>
    <w:tmpl w:val="2C144466"/>
    <w:lvl w:ilvl="0" w:tplc="718A5F22">
      <w:start w:val="15"/>
      <w:numFmt w:val="bullet"/>
      <w:lvlText w:val="-"/>
      <w:lvlJc w:val="left"/>
      <w:pPr>
        <w:ind w:left="720" w:hanging="360"/>
      </w:pPr>
      <w:rPr>
        <w:rFonts w:ascii="Franklin Gothic Medium" w:eastAsia="Times New Roman" w:hAnsi="Franklin Gothic Medium" w:cs="FrankRuehl" w:hint="default"/>
        <w:b w:val="0"/>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3777D37"/>
    <w:multiLevelType w:val="hybridMultilevel"/>
    <w:tmpl w:val="1276B7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AF4866"/>
    <w:multiLevelType w:val="hybridMultilevel"/>
    <w:tmpl w:val="FF144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77D4CEE"/>
    <w:multiLevelType w:val="multilevel"/>
    <w:tmpl w:val="2C7611E6"/>
    <w:numStyleLink w:val="-0"/>
  </w:abstractNum>
  <w:abstractNum w:abstractNumId="30" w15:restartNumberingAfterBreak="0">
    <w:nsid w:val="49CA1C69"/>
    <w:multiLevelType w:val="multilevel"/>
    <w:tmpl w:val="4CBC348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4A381635"/>
    <w:multiLevelType w:val="hybridMultilevel"/>
    <w:tmpl w:val="B4800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0BD1960"/>
    <w:multiLevelType w:val="hybridMultilevel"/>
    <w:tmpl w:val="B57E360A"/>
    <w:lvl w:ilvl="0" w:tplc="C2C486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0EF213F"/>
    <w:multiLevelType w:val="hybridMultilevel"/>
    <w:tmpl w:val="22E63DFA"/>
    <w:lvl w:ilvl="0" w:tplc="209E8F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2C63965"/>
    <w:multiLevelType w:val="multilevel"/>
    <w:tmpl w:val="CB2CFB36"/>
    <w:numStyleLink w:val="-"/>
  </w:abstractNum>
  <w:abstractNum w:abstractNumId="35" w15:restartNumberingAfterBreak="0">
    <w:nsid w:val="58671D74"/>
    <w:multiLevelType w:val="hybridMultilevel"/>
    <w:tmpl w:val="AE6AA2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7" w15:restartNumberingAfterBreak="0">
    <w:nsid w:val="5C376161"/>
    <w:multiLevelType w:val="hybridMultilevel"/>
    <w:tmpl w:val="5EC2A82E"/>
    <w:lvl w:ilvl="0" w:tplc="571AF5B2">
      <w:start w:val="1"/>
      <w:numFmt w:val="bullet"/>
      <w:lvlText w:val=""/>
      <w:lvlJc w:val="left"/>
      <w:pPr>
        <w:ind w:left="720" w:hanging="360"/>
      </w:pPr>
      <w:rPr>
        <w:rFonts w:ascii="Symbol" w:eastAsiaTheme="minorHAnsi" w:hAnsi="Symbol" w:cs="FrankRuehl" w:hint="default"/>
        <w:sz w:val="2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E5359F3"/>
    <w:multiLevelType w:val="hybridMultilevel"/>
    <w:tmpl w:val="1B10B3F2"/>
    <w:lvl w:ilvl="0" w:tplc="BA6C4188">
      <w:start w:val="1"/>
      <w:numFmt w:val="bullet"/>
      <w:lvlText w:val="•"/>
      <w:lvlJc w:val="left"/>
      <w:pPr>
        <w:tabs>
          <w:tab w:val="num" w:pos="720"/>
        </w:tabs>
        <w:ind w:left="720" w:hanging="360"/>
      </w:pPr>
      <w:rPr>
        <w:rFonts w:ascii="Times New Roman" w:hAnsi="Times New Roman" w:hint="default"/>
      </w:rPr>
    </w:lvl>
    <w:lvl w:ilvl="1" w:tplc="90F69D6C" w:tentative="1">
      <w:start w:val="1"/>
      <w:numFmt w:val="bullet"/>
      <w:lvlText w:val="•"/>
      <w:lvlJc w:val="left"/>
      <w:pPr>
        <w:tabs>
          <w:tab w:val="num" w:pos="1440"/>
        </w:tabs>
        <w:ind w:left="1440" w:hanging="360"/>
      </w:pPr>
      <w:rPr>
        <w:rFonts w:ascii="Times New Roman" w:hAnsi="Times New Roman" w:hint="default"/>
      </w:rPr>
    </w:lvl>
    <w:lvl w:ilvl="2" w:tplc="E1D41E44" w:tentative="1">
      <w:start w:val="1"/>
      <w:numFmt w:val="bullet"/>
      <w:lvlText w:val="•"/>
      <w:lvlJc w:val="left"/>
      <w:pPr>
        <w:tabs>
          <w:tab w:val="num" w:pos="2160"/>
        </w:tabs>
        <w:ind w:left="2160" w:hanging="360"/>
      </w:pPr>
      <w:rPr>
        <w:rFonts w:ascii="Times New Roman" w:hAnsi="Times New Roman" w:hint="default"/>
      </w:rPr>
    </w:lvl>
    <w:lvl w:ilvl="3" w:tplc="63E84DCC" w:tentative="1">
      <w:start w:val="1"/>
      <w:numFmt w:val="bullet"/>
      <w:lvlText w:val="•"/>
      <w:lvlJc w:val="left"/>
      <w:pPr>
        <w:tabs>
          <w:tab w:val="num" w:pos="2880"/>
        </w:tabs>
        <w:ind w:left="2880" w:hanging="360"/>
      </w:pPr>
      <w:rPr>
        <w:rFonts w:ascii="Times New Roman" w:hAnsi="Times New Roman" w:hint="default"/>
      </w:rPr>
    </w:lvl>
    <w:lvl w:ilvl="4" w:tplc="FBF44B7E" w:tentative="1">
      <w:start w:val="1"/>
      <w:numFmt w:val="bullet"/>
      <w:lvlText w:val="•"/>
      <w:lvlJc w:val="left"/>
      <w:pPr>
        <w:tabs>
          <w:tab w:val="num" w:pos="3600"/>
        </w:tabs>
        <w:ind w:left="3600" w:hanging="360"/>
      </w:pPr>
      <w:rPr>
        <w:rFonts w:ascii="Times New Roman" w:hAnsi="Times New Roman" w:hint="default"/>
      </w:rPr>
    </w:lvl>
    <w:lvl w:ilvl="5" w:tplc="8AA8E8BC" w:tentative="1">
      <w:start w:val="1"/>
      <w:numFmt w:val="bullet"/>
      <w:lvlText w:val="•"/>
      <w:lvlJc w:val="left"/>
      <w:pPr>
        <w:tabs>
          <w:tab w:val="num" w:pos="4320"/>
        </w:tabs>
        <w:ind w:left="4320" w:hanging="360"/>
      </w:pPr>
      <w:rPr>
        <w:rFonts w:ascii="Times New Roman" w:hAnsi="Times New Roman" w:hint="default"/>
      </w:rPr>
    </w:lvl>
    <w:lvl w:ilvl="6" w:tplc="F536B58E" w:tentative="1">
      <w:start w:val="1"/>
      <w:numFmt w:val="bullet"/>
      <w:lvlText w:val="•"/>
      <w:lvlJc w:val="left"/>
      <w:pPr>
        <w:tabs>
          <w:tab w:val="num" w:pos="5040"/>
        </w:tabs>
        <w:ind w:left="5040" w:hanging="360"/>
      </w:pPr>
      <w:rPr>
        <w:rFonts w:ascii="Times New Roman" w:hAnsi="Times New Roman" w:hint="default"/>
      </w:rPr>
    </w:lvl>
    <w:lvl w:ilvl="7" w:tplc="AB824E0C" w:tentative="1">
      <w:start w:val="1"/>
      <w:numFmt w:val="bullet"/>
      <w:lvlText w:val="•"/>
      <w:lvlJc w:val="left"/>
      <w:pPr>
        <w:tabs>
          <w:tab w:val="num" w:pos="5760"/>
        </w:tabs>
        <w:ind w:left="5760" w:hanging="360"/>
      </w:pPr>
      <w:rPr>
        <w:rFonts w:ascii="Times New Roman" w:hAnsi="Times New Roman" w:hint="default"/>
      </w:rPr>
    </w:lvl>
    <w:lvl w:ilvl="8" w:tplc="8A0423EA" w:tentative="1">
      <w:start w:val="1"/>
      <w:numFmt w:val="bullet"/>
      <w:lvlText w:val="•"/>
      <w:lvlJc w:val="left"/>
      <w:pPr>
        <w:tabs>
          <w:tab w:val="num" w:pos="6480"/>
        </w:tabs>
        <w:ind w:left="6480" w:hanging="360"/>
      </w:pPr>
      <w:rPr>
        <w:rFonts w:ascii="Times New Roman" w:hAnsi="Times New Roman" w:hint="default"/>
      </w:rPr>
    </w:lvl>
  </w:abstractNum>
  <w:abstractNum w:abstractNumId="39" w15:restartNumberingAfterBreak="0">
    <w:nsid w:val="61862128"/>
    <w:multiLevelType w:val="hybridMultilevel"/>
    <w:tmpl w:val="5D10A1EE"/>
    <w:lvl w:ilvl="0" w:tplc="B422F7C2">
      <w:start w:val="8"/>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5A65FD4"/>
    <w:multiLevelType w:val="hybridMultilevel"/>
    <w:tmpl w:val="B57E360A"/>
    <w:lvl w:ilvl="0" w:tplc="C2C486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7D47507"/>
    <w:multiLevelType w:val="hybridMultilevel"/>
    <w:tmpl w:val="2A94B748"/>
    <w:lvl w:ilvl="0" w:tplc="BF12AE5A">
      <w:start w:val="1"/>
      <w:numFmt w:val="decimal"/>
      <w:lvlText w:val="%1."/>
      <w:lvlJc w:val="left"/>
      <w:pPr>
        <w:ind w:left="504" w:hanging="360"/>
      </w:pPr>
      <w:rPr>
        <w:rFonts w:hint="default"/>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42" w15:restartNumberingAfterBreak="0">
    <w:nsid w:val="70136A9E"/>
    <w:multiLevelType w:val="hybridMultilevel"/>
    <w:tmpl w:val="25DCE8BC"/>
    <w:lvl w:ilvl="0" w:tplc="02FA6EEE">
      <w:start w:val="1"/>
      <w:numFmt w:val="hebrew1"/>
      <w:lvlText w:val="%1."/>
      <w:lvlJc w:val="left"/>
      <w:pPr>
        <w:ind w:left="720" w:hanging="360"/>
      </w:pPr>
      <w:rPr>
        <w:rFonts w:ascii="Times New Roman" w:eastAsia="Times New Roman" w:hAnsi="Times New Roman" w:cs="FrankRuehl"/>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0B06BA1"/>
    <w:multiLevelType w:val="multilevel"/>
    <w:tmpl w:val="46FA46F2"/>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4" w15:restartNumberingAfterBreak="0">
    <w:nsid w:val="70EB48A7"/>
    <w:multiLevelType w:val="hybridMultilevel"/>
    <w:tmpl w:val="FCA61D28"/>
    <w:lvl w:ilvl="0" w:tplc="E578B27E">
      <w:start w:val="3"/>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26C7CDE"/>
    <w:multiLevelType w:val="hybridMultilevel"/>
    <w:tmpl w:val="73668AD0"/>
    <w:lvl w:ilvl="0" w:tplc="C2C486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A3F02E2"/>
    <w:multiLevelType w:val="hybridMultilevel"/>
    <w:tmpl w:val="DB04DFD6"/>
    <w:lvl w:ilvl="0" w:tplc="F7425010">
      <w:start w:val="15"/>
      <w:numFmt w:val="bullet"/>
      <w:lvlText w:val=""/>
      <w:lvlJc w:val="left"/>
      <w:pPr>
        <w:ind w:left="720" w:hanging="360"/>
      </w:pPr>
      <w:rPr>
        <w:rFonts w:ascii="Symbol" w:eastAsia="Times New Roman" w:hAnsi="Symbo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D0201D4"/>
    <w:multiLevelType w:val="hybridMultilevel"/>
    <w:tmpl w:val="D90EAB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8B64B5"/>
    <w:multiLevelType w:val="multilevel"/>
    <w:tmpl w:val="4CBC348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9" w15:restartNumberingAfterBreak="0">
    <w:nsid w:val="7FC32753"/>
    <w:multiLevelType w:val="hybridMultilevel"/>
    <w:tmpl w:val="A56A66C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36"/>
  </w:num>
  <w:num w:numId="3">
    <w:abstractNumId w:val="5"/>
  </w:num>
  <w:num w:numId="4">
    <w:abstractNumId w:val="10"/>
  </w:num>
  <w:num w:numId="5">
    <w:abstractNumId w:val="4"/>
  </w:num>
  <w:num w:numId="6">
    <w:abstractNumId w:val="29"/>
  </w:num>
  <w:num w:numId="7">
    <w:abstractNumId w:val="34"/>
  </w:num>
  <w:num w:numId="8">
    <w:abstractNumId w:val="15"/>
  </w:num>
  <w:num w:numId="9">
    <w:abstractNumId w:val="33"/>
  </w:num>
  <w:num w:numId="10">
    <w:abstractNumId w:val="16"/>
  </w:num>
  <w:num w:numId="11">
    <w:abstractNumId w:val="20"/>
  </w:num>
  <w:num w:numId="12">
    <w:abstractNumId w:val="9"/>
  </w:num>
  <w:num w:numId="13">
    <w:abstractNumId w:val="32"/>
  </w:num>
  <w:num w:numId="14">
    <w:abstractNumId w:val="42"/>
  </w:num>
  <w:num w:numId="15">
    <w:abstractNumId w:val="40"/>
  </w:num>
  <w:num w:numId="16">
    <w:abstractNumId w:val="45"/>
  </w:num>
  <w:num w:numId="17">
    <w:abstractNumId w:val="30"/>
  </w:num>
  <w:num w:numId="18">
    <w:abstractNumId w:val="48"/>
  </w:num>
  <w:num w:numId="19">
    <w:abstractNumId w:val="43"/>
  </w:num>
  <w:num w:numId="20">
    <w:abstractNumId w:val="31"/>
  </w:num>
  <w:num w:numId="21">
    <w:abstractNumId w:val="39"/>
  </w:num>
  <w:num w:numId="22">
    <w:abstractNumId w:val="44"/>
  </w:num>
  <w:num w:numId="23">
    <w:abstractNumId w:val="6"/>
  </w:num>
  <w:num w:numId="24">
    <w:abstractNumId w:val="26"/>
  </w:num>
  <w:num w:numId="25">
    <w:abstractNumId w:val="1"/>
  </w:num>
  <w:num w:numId="26">
    <w:abstractNumId w:val="12"/>
  </w:num>
  <w:num w:numId="27">
    <w:abstractNumId w:val="46"/>
  </w:num>
  <w:num w:numId="28">
    <w:abstractNumId w:val="38"/>
  </w:num>
  <w:num w:numId="29">
    <w:abstractNumId w:val="25"/>
  </w:num>
  <w:num w:numId="30">
    <w:abstractNumId w:val="24"/>
  </w:num>
  <w:num w:numId="31">
    <w:abstractNumId w:val="13"/>
  </w:num>
  <w:num w:numId="32">
    <w:abstractNumId w:val="21"/>
  </w:num>
  <w:num w:numId="33">
    <w:abstractNumId w:val="28"/>
  </w:num>
  <w:num w:numId="34">
    <w:abstractNumId w:val="7"/>
  </w:num>
  <w:num w:numId="35">
    <w:abstractNumId w:val="49"/>
  </w:num>
  <w:num w:numId="36">
    <w:abstractNumId w:val="27"/>
  </w:num>
  <w:num w:numId="37">
    <w:abstractNumId w:val="8"/>
  </w:num>
  <w:num w:numId="38">
    <w:abstractNumId w:val="37"/>
  </w:num>
  <w:num w:numId="39">
    <w:abstractNumId w:val="18"/>
  </w:num>
  <w:num w:numId="40">
    <w:abstractNumId w:val="35"/>
  </w:num>
  <w:num w:numId="41">
    <w:abstractNumId w:val="2"/>
  </w:num>
  <w:num w:numId="42">
    <w:abstractNumId w:val="47"/>
  </w:num>
  <w:num w:numId="43">
    <w:abstractNumId w:val="14"/>
  </w:num>
  <w:num w:numId="44">
    <w:abstractNumId w:val="3"/>
  </w:num>
  <w:num w:numId="45">
    <w:abstractNumId w:val="0"/>
  </w:num>
  <w:num w:numId="46">
    <w:abstractNumId w:val="22"/>
  </w:num>
  <w:num w:numId="47">
    <w:abstractNumId w:val="23"/>
  </w:num>
  <w:num w:numId="48">
    <w:abstractNumId w:val="19"/>
  </w:num>
  <w:num w:numId="4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F7D"/>
    <w:rsid w:val="00001181"/>
    <w:rsid w:val="000041D0"/>
    <w:rsid w:val="00004BDA"/>
    <w:rsid w:val="00004DAE"/>
    <w:rsid w:val="00006B74"/>
    <w:rsid w:val="00010F97"/>
    <w:rsid w:val="00013B6E"/>
    <w:rsid w:val="00014182"/>
    <w:rsid w:val="000149CE"/>
    <w:rsid w:val="00015F39"/>
    <w:rsid w:val="00021F61"/>
    <w:rsid w:val="000235BD"/>
    <w:rsid w:val="00023D5A"/>
    <w:rsid w:val="00033462"/>
    <w:rsid w:val="000404CD"/>
    <w:rsid w:val="00042F4A"/>
    <w:rsid w:val="0004725F"/>
    <w:rsid w:val="00047C97"/>
    <w:rsid w:val="000520B7"/>
    <w:rsid w:val="00055D5D"/>
    <w:rsid w:val="00055DC1"/>
    <w:rsid w:val="00056660"/>
    <w:rsid w:val="000568CE"/>
    <w:rsid w:val="00057FA2"/>
    <w:rsid w:val="00060EB2"/>
    <w:rsid w:val="00062049"/>
    <w:rsid w:val="000639DE"/>
    <w:rsid w:val="00066383"/>
    <w:rsid w:val="00067DEA"/>
    <w:rsid w:val="000703D4"/>
    <w:rsid w:val="00071EB4"/>
    <w:rsid w:val="00072240"/>
    <w:rsid w:val="00077E0B"/>
    <w:rsid w:val="00083265"/>
    <w:rsid w:val="0008485E"/>
    <w:rsid w:val="000848A8"/>
    <w:rsid w:val="00086087"/>
    <w:rsid w:val="000877F6"/>
    <w:rsid w:val="00093B9D"/>
    <w:rsid w:val="00094919"/>
    <w:rsid w:val="00094A18"/>
    <w:rsid w:val="00095AC0"/>
    <w:rsid w:val="000A11AF"/>
    <w:rsid w:val="000A20D0"/>
    <w:rsid w:val="000A4D15"/>
    <w:rsid w:val="000A5770"/>
    <w:rsid w:val="000B6E85"/>
    <w:rsid w:val="000C04AE"/>
    <w:rsid w:val="000C3954"/>
    <w:rsid w:val="000C3B97"/>
    <w:rsid w:val="000C4887"/>
    <w:rsid w:val="000C7A1C"/>
    <w:rsid w:val="000D088E"/>
    <w:rsid w:val="000D113A"/>
    <w:rsid w:val="000D30B2"/>
    <w:rsid w:val="000D3CD3"/>
    <w:rsid w:val="000D4B15"/>
    <w:rsid w:val="000D550D"/>
    <w:rsid w:val="000D6489"/>
    <w:rsid w:val="000E2C6F"/>
    <w:rsid w:val="000E2CDB"/>
    <w:rsid w:val="000E4F7D"/>
    <w:rsid w:val="000E6098"/>
    <w:rsid w:val="000E632C"/>
    <w:rsid w:val="000E7228"/>
    <w:rsid w:val="000F5857"/>
    <w:rsid w:val="000F5F1A"/>
    <w:rsid w:val="00102D6B"/>
    <w:rsid w:val="00102F6E"/>
    <w:rsid w:val="0010326C"/>
    <w:rsid w:val="001061F4"/>
    <w:rsid w:val="00110A4A"/>
    <w:rsid w:val="001112DE"/>
    <w:rsid w:val="00111C7D"/>
    <w:rsid w:val="00114458"/>
    <w:rsid w:val="00114513"/>
    <w:rsid w:val="00114E65"/>
    <w:rsid w:val="00122C87"/>
    <w:rsid w:val="001230E5"/>
    <w:rsid w:val="00123CBC"/>
    <w:rsid w:val="00124676"/>
    <w:rsid w:val="001255A9"/>
    <w:rsid w:val="00125935"/>
    <w:rsid w:val="001264BE"/>
    <w:rsid w:val="00133245"/>
    <w:rsid w:val="0013399C"/>
    <w:rsid w:val="00137C94"/>
    <w:rsid w:val="00137D74"/>
    <w:rsid w:val="00137FBF"/>
    <w:rsid w:val="00140FF6"/>
    <w:rsid w:val="00143CD7"/>
    <w:rsid w:val="0014427A"/>
    <w:rsid w:val="0014444E"/>
    <w:rsid w:val="0015114F"/>
    <w:rsid w:val="001528AA"/>
    <w:rsid w:val="00155890"/>
    <w:rsid w:val="00155C7B"/>
    <w:rsid w:val="00160101"/>
    <w:rsid w:val="001611C6"/>
    <w:rsid w:val="00164B30"/>
    <w:rsid w:val="001676D4"/>
    <w:rsid w:val="0016785F"/>
    <w:rsid w:val="001720DA"/>
    <w:rsid w:val="001720F5"/>
    <w:rsid w:val="00172425"/>
    <w:rsid w:val="00172CD7"/>
    <w:rsid w:val="00175024"/>
    <w:rsid w:val="00175D81"/>
    <w:rsid w:val="00176646"/>
    <w:rsid w:val="00181426"/>
    <w:rsid w:val="0018292D"/>
    <w:rsid w:val="00182A68"/>
    <w:rsid w:val="001832C6"/>
    <w:rsid w:val="00184784"/>
    <w:rsid w:val="00184B91"/>
    <w:rsid w:val="001869ED"/>
    <w:rsid w:val="00187029"/>
    <w:rsid w:val="00187049"/>
    <w:rsid w:val="00187E17"/>
    <w:rsid w:val="00187ED5"/>
    <w:rsid w:val="00196133"/>
    <w:rsid w:val="0019719A"/>
    <w:rsid w:val="00197801"/>
    <w:rsid w:val="001A16C8"/>
    <w:rsid w:val="001A29BE"/>
    <w:rsid w:val="001A77C1"/>
    <w:rsid w:val="001A7C42"/>
    <w:rsid w:val="001B24B1"/>
    <w:rsid w:val="001B529B"/>
    <w:rsid w:val="001B5F26"/>
    <w:rsid w:val="001B6745"/>
    <w:rsid w:val="001C371A"/>
    <w:rsid w:val="001C4F6D"/>
    <w:rsid w:val="001C6B00"/>
    <w:rsid w:val="001C6E29"/>
    <w:rsid w:val="001D26A6"/>
    <w:rsid w:val="001D2B35"/>
    <w:rsid w:val="001D2E4D"/>
    <w:rsid w:val="001D55DD"/>
    <w:rsid w:val="001D7CF7"/>
    <w:rsid w:val="001E384B"/>
    <w:rsid w:val="001E548A"/>
    <w:rsid w:val="001E7D95"/>
    <w:rsid w:val="001F0F36"/>
    <w:rsid w:val="001F395B"/>
    <w:rsid w:val="001F657C"/>
    <w:rsid w:val="00200811"/>
    <w:rsid w:val="00201957"/>
    <w:rsid w:val="00205A82"/>
    <w:rsid w:val="00205D46"/>
    <w:rsid w:val="002070B8"/>
    <w:rsid w:val="00210925"/>
    <w:rsid w:val="00211864"/>
    <w:rsid w:val="00213F63"/>
    <w:rsid w:val="002159F1"/>
    <w:rsid w:val="00216465"/>
    <w:rsid w:val="00217089"/>
    <w:rsid w:val="00217239"/>
    <w:rsid w:val="0022112B"/>
    <w:rsid w:val="00222C76"/>
    <w:rsid w:val="0022378A"/>
    <w:rsid w:val="002322CF"/>
    <w:rsid w:val="00233329"/>
    <w:rsid w:val="00233F04"/>
    <w:rsid w:val="00234344"/>
    <w:rsid w:val="00234422"/>
    <w:rsid w:val="002401A9"/>
    <w:rsid w:val="00240AFF"/>
    <w:rsid w:val="002415F0"/>
    <w:rsid w:val="00242312"/>
    <w:rsid w:val="002427FA"/>
    <w:rsid w:val="00245B21"/>
    <w:rsid w:val="00246E47"/>
    <w:rsid w:val="002504CF"/>
    <w:rsid w:val="00253EBA"/>
    <w:rsid w:val="002568FC"/>
    <w:rsid w:val="00257B85"/>
    <w:rsid w:val="002604B5"/>
    <w:rsid w:val="00260FFC"/>
    <w:rsid w:val="002617A0"/>
    <w:rsid w:val="00262166"/>
    <w:rsid w:val="00263A5B"/>
    <w:rsid w:val="002648D9"/>
    <w:rsid w:val="00270819"/>
    <w:rsid w:val="002724F6"/>
    <w:rsid w:val="00275887"/>
    <w:rsid w:val="00285244"/>
    <w:rsid w:val="00292945"/>
    <w:rsid w:val="002A0477"/>
    <w:rsid w:val="002A21E2"/>
    <w:rsid w:val="002A54A3"/>
    <w:rsid w:val="002A5BB1"/>
    <w:rsid w:val="002A63D0"/>
    <w:rsid w:val="002A774A"/>
    <w:rsid w:val="002A7FEA"/>
    <w:rsid w:val="002B1178"/>
    <w:rsid w:val="002B1CF2"/>
    <w:rsid w:val="002B20B0"/>
    <w:rsid w:val="002B232A"/>
    <w:rsid w:val="002B3772"/>
    <w:rsid w:val="002C365A"/>
    <w:rsid w:val="002C3F13"/>
    <w:rsid w:val="002C5F11"/>
    <w:rsid w:val="002D4CBC"/>
    <w:rsid w:val="002D581D"/>
    <w:rsid w:val="002D5E9D"/>
    <w:rsid w:val="002D7789"/>
    <w:rsid w:val="002D7E57"/>
    <w:rsid w:val="002E304F"/>
    <w:rsid w:val="002E38F4"/>
    <w:rsid w:val="002E6EC4"/>
    <w:rsid w:val="002E6EFC"/>
    <w:rsid w:val="002F0692"/>
    <w:rsid w:val="002F1699"/>
    <w:rsid w:val="002F197C"/>
    <w:rsid w:val="002F5252"/>
    <w:rsid w:val="002F60B8"/>
    <w:rsid w:val="002F68E7"/>
    <w:rsid w:val="002F6D51"/>
    <w:rsid w:val="00301714"/>
    <w:rsid w:val="00304531"/>
    <w:rsid w:val="0030573C"/>
    <w:rsid w:val="00306EB9"/>
    <w:rsid w:val="00312F4C"/>
    <w:rsid w:val="00313A82"/>
    <w:rsid w:val="00317735"/>
    <w:rsid w:val="0032271D"/>
    <w:rsid w:val="00325E01"/>
    <w:rsid w:val="00332038"/>
    <w:rsid w:val="003331B6"/>
    <w:rsid w:val="00334E45"/>
    <w:rsid w:val="003353B7"/>
    <w:rsid w:val="003356DA"/>
    <w:rsid w:val="00340A5E"/>
    <w:rsid w:val="00341C36"/>
    <w:rsid w:val="00343118"/>
    <w:rsid w:val="00344B6F"/>
    <w:rsid w:val="003456EA"/>
    <w:rsid w:val="00346BF7"/>
    <w:rsid w:val="00347725"/>
    <w:rsid w:val="00347D89"/>
    <w:rsid w:val="0035395A"/>
    <w:rsid w:val="00355345"/>
    <w:rsid w:val="00361114"/>
    <w:rsid w:val="00362C64"/>
    <w:rsid w:val="003644C1"/>
    <w:rsid w:val="003678F5"/>
    <w:rsid w:val="00370A24"/>
    <w:rsid w:val="003710B2"/>
    <w:rsid w:val="003741E4"/>
    <w:rsid w:val="00377470"/>
    <w:rsid w:val="00377497"/>
    <w:rsid w:val="00382C49"/>
    <w:rsid w:val="003840FE"/>
    <w:rsid w:val="003928C8"/>
    <w:rsid w:val="003935BF"/>
    <w:rsid w:val="00393C6A"/>
    <w:rsid w:val="0039689B"/>
    <w:rsid w:val="003A1D7A"/>
    <w:rsid w:val="003A3706"/>
    <w:rsid w:val="003A7A02"/>
    <w:rsid w:val="003B0ED2"/>
    <w:rsid w:val="003B2F06"/>
    <w:rsid w:val="003B386B"/>
    <w:rsid w:val="003B4CA9"/>
    <w:rsid w:val="003B67A2"/>
    <w:rsid w:val="003B6D56"/>
    <w:rsid w:val="003B72CC"/>
    <w:rsid w:val="003B7D06"/>
    <w:rsid w:val="003C3887"/>
    <w:rsid w:val="003C3A5C"/>
    <w:rsid w:val="003C6A47"/>
    <w:rsid w:val="003D09C1"/>
    <w:rsid w:val="003D190B"/>
    <w:rsid w:val="003D2F39"/>
    <w:rsid w:val="003D426D"/>
    <w:rsid w:val="003D4BA8"/>
    <w:rsid w:val="003D6491"/>
    <w:rsid w:val="003D745A"/>
    <w:rsid w:val="003D793B"/>
    <w:rsid w:val="003D7BA6"/>
    <w:rsid w:val="003E544A"/>
    <w:rsid w:val="003E54C7"/>
    <w:rsid w:val="003E7180"/>
    <w:rsid w:val="003F006D"/>
    <w:rsid w:val="003F08DE"/>
    <w:rsid w:val="003F0BA5"/>
    <w:rsid w:val="003F1396"/>
    <w:rsid w:val="003F19F6"/>
    <w:rsid w:val="003F3FE0"/>
    <w:rsid w:val="003F5353"/>
    <w:rsid w:val="003F54C7"/>
    <w:rsid w:val="0040055E"/>
    <w:rsid w:val="00406132"/>
    <w:rsid w:val="00407EBA"/>
    <w:rsid w:val="004136EC"/>
    <w:rsid w:val="00413EA7"/>
    <w:rsid w:val="00416933"/>
    <w:rsid w:val="0042001C"/>
    <w:rsid w:val="0042055E"/>
    <w:rsid w:val="004220C5"/>
    <w:rsid w:val="00423D6A"/>
    <w:rsid w:val="004247F6"/>
    <w:rsid w:val="00426E0E"/>
    <w:rsid w:val="0043016E"/>
    <w:rsid w:val="004323EF"/>
    <w:rsid w:val="00432610"/>
    <w:rsid w:val="004410DE"/>
    <w:rsid w:val="004422CC"/>
    <w:rsid w:val="00445A25"/>
    <w:rsid w:val="00445C3A"/>
    <w:rsid w:val="0044663B"/>
    <w:rsid w:val="004471CA"/>
    <w:rsid w:val="00450C3C"/>
    <w:rsid w:val="00450E34"/>
    <w:rsid w:val="00451AED"/>
    <w:rsid w:val="00451F2E"/>
    <w:rsid w:val="004523EB"/>
    <w:rsid w:val="00452D7A"/>
    <w:rsid w:val="0046668F"/>
    <w:rsid w:val="00467BAD"/>
    <w:rsid w:val="00471561"/>
    <w:rsid w:val="00472401"/>
    <w:rsid w:val="00472A6C"/>
    <w:rsid w:val="00472DC8"/>
    <w:rsid w:val="00475353"/>
    <w:rsid w:val="00475B88"/>
    <w:rsid w:val="00485B17"/>
    <w:rsid w:val="0048703D"/>
    <w:rsid w:val="004909B7"/>
    <w:rsid w:val="00490BF8"/>
    <w:rsid w:val="004A25B1"/>
    <w:rsid w:val="004A4895"/>
    <w:rsid w:val="004B29CB"/>
    <w:rsid w:val="004B359B"/>
    <w:rsid w:val="004B3ADC"/>
    <w:rsid w:val="004B7A86"/>
    <w:rsid w:val="004C04EE"/>
    <w:rsid w:val="004C127D"/>
    <w:rsid w:val="004C16E5"/>
    <w:rsid w:val="004C2CFA"/>
    <w:rsid w:val="004C5538"/>
    <w:rsid w:val="004C66EA"/>
    <w:rsid w:val="004C7C81"/>
    <w:rsid w:val="004D65A1"/>
    <w:rsid w:val="004D6CF2"/>
    <w:rsid w:val="004E3325"/>
    <w:rsid w:val="004E479D"/>
    <w:rsid w:val="004E7EA9"/>
    <w:rsid w:val="004F0067"/>
    <w:rsid w:val="004F1B73"/>
    <w:rsid w:val="004F3773"/>
    <w:rsid w:val="005028F9"/>
    <w:rsid w:val="005031C1"/>
    <w:rsid w:val="00505D36"/>
    <w:rsid w:val="00506317"/>
    <w:rsid w:val="00506C50"/>
    <w:rsid w:val="00507D74"/>
    <w:rsid w:val="00507E3E"/>
    <w:rsid w:val="00510D1C"/>
    <w:rsid w:val="005118DB"/>
    <w:rsid w:val="00515321"/>
    <w:rsid w:val="00515E5C"/>
    <w:rsid w:val="0051618D"/>
    <w:rsid w:val="005167BF"/>
    <w:rsid w:val="00517B73"/>
    <w:rsid w:val="00522F55"/>
    <w:rsid w:val="00523990"/>
    <w:rsid w:val="00524809"/>
    <w:rsid w:val="00530F8A"/>
    <w:rsid w:val="00531382"/>
    <w:rsid w:val="00531A41"/>
    <w:rsid w:val="00534452"/>
    <w:rsid w:val="005371D8"/>
    <w:rsid w:val="00537D94"/>
    <w:rsid w:val="00540DFE"/>
    <w:rsid w:val="0054453C"/>
    <w:rsid w:val="00545138"/>
    <w:rsid w:val="00551F6D"/>
    <w:rsid w:val="00556BE2"/>
    <w:rsid w:val="0056033B"/>
    <w:rsid w:val="00563AC1"/>
    <w:rsid w:val="00566499"/>
    <w:rsid w:val="00567F09"/>
    <w:rsid w:val="005742D7"/>
    <w:rsid w:val="005751A1"/>
    <w:rsid w:val="005820EE"/>
    <w:rsid w:val="00582D64"/>
    <w:rsid w:val="00585B64"/>
    <w:rsid w:val="00586736"/>
    <w:rsid w:val="00593685"/>
    <w:rsid w:val="00594A0F"/>
    <w:rsid w:val="005A14B8"/>
    <w:rsid w:val="005A4DD2"/>
    <w:rsid w:val="005B06A7"/>
    <w:rsid w:val="005B0D74"/>
    <w:rsid w:val="005B3376"/>
    <w:rsid w:val="005B40A7"/>
    <w:rsid w:val="005B5978"/>
    <w:rsid w:val="005B72B4"/>
    <w:rsid w:val="005C19FF"/>
    <w:rsid w:val="005C65F6"/>
    <w:rsid w:val="005C691A"/>
    <w:rsid w:val="005C7F13"/>
    <w:rsid w:val="005D036E"/>
    <w:rsid w:val="005D10B4"/>
    <w:rsid w:val="005D42E4"/>
    <w:rsid w:val="005D497A"/>
    <w:rsid w:val="005D4FC1"/>
    <w:rsid w:val="005D5532"/>
    <w:rsid w:val="005D796F"/>
    <w:rsid w:val="005E0AA4"/>
    <w:rsid w:val="005E37A1"/>
    <w:rsid w:val="005F1B5B"/>
    <w:rsid w:val="00600BFA"/>
    <w:rsid w:val="00600F1F"/>
    <w:rsid w:val="00602DAD"/>
    <w:rsid w:val="00603AF3"/>
    <w:rsid w:val="00610AD3"/>
    <w:rsid w:val="00612566"/>
    <w:rsid w:val="00613634"/>
    <w:rsid w:val="00616819"/>
    <w:rsid w:val="006213FD"/>
    <w:rsid w:val="00623009"/>
    <w:rsid w:val="006309B0"/>
    <w:rsid w:val="00630E05"/>
    <w:rsid w:val="00632C62"/>
    <w:rsid w:val="00632D4B"/>
    <w:rsid w:val="00634051"/>
    <w:rsid w:val="00637356"/>
    <w:rsid w:val="006400B7"/>
    <w:rsid w:val="00641AC0"/>
    <w:rsid w:val="0065075D"/>
    <w:rsid w:val="00653714"/>
    <w:rsid w:val="00654EC0"/>
    <w:rsid w:val="006555B0"/>
    <w:rsid w:val="006576D1"/>
    <w:rsid w:val="006656EB"/>
    <w:rsid w:val="0066664E"/>
    <w:rsid w:val="006671B3"/>
    <w:rsid w:val="006806A9"/>
    <w:rsid w:val="00683DCD"/>
    <w:rsid w:val="00684090"/>
    <w:rsid w:val="00687F59"/>
    <w:rsid w:val="0069146E"/>
    <w:rsid w:val="00692114"/>
    <w:rsid w:val="00692936"/>
    <w:rsid w:val="00692C69"/>
    <w:rsid w:val="0069468C"/>
    <w:rsid w:val="00694707"/>
    <w:rsid w:val="006952CA"/>
    <w:rsid w:val="006A0DA4"/>
    <w:rsid w:val="006A13C9"/>
    <w:rsid w:val="006A2503"/>
    <w:rsid w:val="006A2859"/>
    <w:rsid w:val="006A37CD"/>
    <w:rsid w:val="006A5446"/>
    <w:rsid w:val="006A718A"/>
    <w:rsid w:val="006B352E"/>
    <w:rsid w:val="006B37E6"/>
    <w:rsid w:val="006C125D"/>
    <w:rsid w:val="006C1C13"/>
    <w:rsid w:val="006C2E76"/>
    <w:rsid w:val="006C55AF"/>
    <w:rsid w:val="006C5853"/>
    <w:rsid w:val="006C7D52"/>
    <w:rsid w:val="006D0744"/>
    <w:rsid w:val="006D1123"/>
    <w:rsid w:val="006D38D7"/>
    <w:rsid w:val="006D3B7F"/>
    <w:rsid w:val="006D5E5D"/>
    <w:rsid w:val="006D5F6A"/>
    <w:rsid w:val="006D686D"/>
    <w:rsid w:val="006E1C90"/>
    <w:rsid w:val="006E5942"/>
    <w:rsid w:val="006E5C22"/>
    <w:rsid w:val="006F09E3"/>
    <w:rsid w:val="006F0BD6"/>
    <w:rsid w:val="006F7B3B"/>
    <w:rsid w:val="006F7FF0"/>
    <w:rsid w:val="00701154"/>
    <w:rsid w:val="007020CE"/>
    <w:rsid w:val="00706164"/>
    <w:rsid w:val="00706B39"/>
    <w:rsid w:val="007131C0"/>
    <w:rsid w:val="0072157B"/>
    <w:rsid w:val="00721A1B"/>
    <w:rsid w:val="00724AC1"/>
    <w:rsid w:val="0072585F"/>
    <w:rsid w:val="00725CF5"/>
    <w:rsid w:val="00732B30"/>
    <w:rsid w:val="00735D55"/>
    <w:rsid w:val="00743847"/>
    <w:rsid w:val="00745245"/>
    <w:rsid w:val="007461A5"/>
    <w:rsid w:val="00750944"/>
    <w:rsid w:val="0075151C"/>
    <w:rsid w:val="00751B50"/>
    <w:rsid w:val="00752FC1"/>
    <w:rsid w:val="00753738"/>
    <w:rsid w:val="0075390C"/>
    <w:rsid w:val="007561DA"/>
    <w:rsid w:val="00757313"/>
    <w:rsid w:val="00757879"/>
    <w:rsid w:val="007611DA"/>
    <w:rsid w:val="007621CD"/>
    <w:rsid w:val="00762786"/>
    <w:rsid w:val="00765525"/>
    <w:rsid w:val="0076568D"/>
    <w:rsid w:val="00771155"/>
    <w:rsid w:val="00771161"/>
    <w:rsid w:val="00774714"/>
    <w:rsid w:val="00777430"/>
    <w:rsid w:val="00777822"/>
    <w:rsid w:val="00786532"/>
    <w:rsid w:val="007865D8"/>
    <w:rsid w:val="00787F13"/>
    <w:rsid w:val="00790A5C"/>
    <w:rsid w:val="00793E5C"/>
    <w:rsid w:val="00796700"/>
    <w:rsid w:val="00796A9C"/>
    <w:rsid w:val="00796FA7"/>
    <w:rsid w:val="007A26A9"/>
    <w:rsid w:val="007A373A"/>
    <w:rsid w:val="007A5F4D"/>
    <w:rsid w:val="007B0500"/>
    <w:rsid w:val="007B37AD"/>
    <w:rsid w:val="007B46DF"/>
    <w:rsid w:val="007B5A32"/>
    <w:rsid w:val="007C0FC1"/>
    <w:rsid w:val="007C6C08"/>
    <w:rsid w:val="007C7936"/>
    <w:rsid w:val="007D0949"/>
    <w:rsid w:val="007D26A2"/>
    <w:rsid w:val="007D2BB1"/>
    <w:rsid w:val="007D4118"/>
    <w:rsid w:val="007D4D98"/>
    <w:rsid w:val="007E2548"/>
    <w:rsid w:val="007E2692"/>
    <w:rsid w:val="007E5602"/>
    <w:rsid w:val="007E5D8E"/>
    <w:rsid w:val="007F0694"/>
    <w:rsid w:val="007F1D0F"/>
    <w:rsid w:val="007F32B4"/>
    <w:rsid w:val="007F4186"/>
    <w:rsid w:val="007F62CC"/>
    <w:rsid w:val="007F7700"/>
    <w:rsid w:val="0080160A"/>
    <w:rsid w:val="008034E8"/>
    <w:rsid w:val="00803B16"/>
    <w:rsid w:val="00805512"/>
    <w:rsid w:val="00806C2D"/>
    <w:rsid w:val="00807DC0"/>
    <w:rsid w:val="008106BF"/>
    <w:rsid w:val="008130F7"/>
    <w:rsid w:val="008155FE"/>
    <w:rsid w:val="0082041C"/>
    <w:rsid w:val="00823625"/>
    <w:rsid w:val="0082739B"/>
    <w:rsid w:val="0083007D"/>
    <w:rsid w:val="008310F1"/>
    <w:rsid w:val="0083144E"/>
    <w:rsid w:val="00831E4F"/>
    <w:rsid w:val="00832C77"/>
    <w:rsid w:val="00834172"/>
    <w:rsid w:val="00844FDD"/>
    <w:rsid w:val="0084799B"/>
    <w:rsid w:val="00850EC8"/>
    <w:rsid w:val="0085124F"/>
    <w:rsid w:val="0085437F"/>
    <w:rsid w:val="00856B4E"/>
    <w:rsid w:val="0086370E"/>
    <w:rsid w:val="00864DB3"/>
    <w:rsid w:val="00866699"/>
    <w:rsid w:val="00867AE5"/>
    <w:rsid w:val="00870B58"/>
    <w:rsid w:val="00870C4D"/>
    <w:rsid w:val="00870D8A"/>
    <w:rsid w:val="008737DE"/>
    <w:rsid w:val="00873D74"/>
    <w:rsid w:val="00875F73"/>
    <w:rsid w:val="0087692A"/>
    <w:rsid w:val="0087752D"/>
    <w:rsid w:val="008805E1"/>
    <w:rsid w:val="00882DF9"/>
    <w:rsid w:val="008846D2"/>
    <w:rsid w:val="008939EF"/>
    <w:rsid w:val="00894768"/>
    <w:rsid w:val="008952F1"/>
    <w:rsid w:val="00896738"/>
    <w:rsid w:val="008977D5"/>
    <w:rsid w:val="00897AF8"/>
    <w:rsid w:val="008A03D6"/>
    <w:rsid w:val="008A2345"/>
    <w:rsid w:val="008A4C7A"/>
    <w:rsid w:val="008A50AE"/>
    <w:rsid w:val="008A7B6D"/>
    <w:rsid w:val="008B0948"/>
    <w:rsid w:val="008B39D7"/>
    <w:rsid w:val="008B3B4D"/>
    <w:rsid w:val="008B652E"/>
    <w:rsid w:val="008B6FB6"/>
    <w:rsid w:val="008B731C"/>
    <w:rsid w:val="008C3C54"/>
    <w:rsid w:val="008C3DD2"/>
    <w:rsid w:val="008C415B"/>
    <w:rsid w:val="008C512C"/>
    <w:rsid w:val="008C5E9E"/>
    <w:rsid w:val="008C61B8"/>
    <w:rsid w:val="008C7715"/>
    <w:rsid w:val="008D0030"/>
    <w:rsid w:val="008D0AFD"/>
    <w:rsid w:val="008D318C"/>
    <w:rsid w:val="008D4B50"/>
    <w:rsid w:val="008D4CFD"/>
    <w:rsid w:val="008E2761"/>
    <w:rsid w:val="008E77BE"/>
    <w:rsid w:val="008F1C00"/>
    <w:rsid w:val="008F416E"/>
    <w:rsid w:val="008F44C3"/>
    <w:rsid w:val="008F4F3A"/>
    <w:rsid w:val="008F5078"/>
    <w:rsid w:val="008F7160"/>
    <w:rsid w:val="008F7604"/>
    <w:rsid w:val="009029D6"/>
    <w:rsid w:val="00904B61"/>
    <w:rsid w:val="00905EC1"/>
    <w:rsid w:val="009067C6"/>
    <w:rsid w:val="00906F40"/>
    <w:rsid w:val="00910BC9"/>
    <w:rsid w:val="009118C2"/>
    <w:rsid w:val="00911931"/>
    <w:rsid w:val="009127A7"/>
    <w:rsid w:val="00915C9A"/>
    <w:rsid w:val="00916088"/>
    <w:rsid w:val="00922C9B"/>
    <w:rsid w:val="0092680B"/>
    <w:rsid w:val="00933F80"/>
    <w:rsid w:val="00935E81"/>
    <w:rsid w:val="00937DAD"/>
    <w:rsid w:val="00943375"/>
    <w:rsid w:val="00944565"/>
    <w:rsid w:val="00945324"/>
    <w:rsid w:val="00954BD2"/>
    <w:rsid w:val="00956689"/>
    <w:rsid w:val="0095728B"/>
    <w:rsid w:val="0095752C"/>
    <w:rsid w:val="00960446"/>
    <w:rsid w:val="00960F05"/>
    <w:rsid w:val="0096387D"/>
    <w:rsid w:val="00971690"/>
    <w:rsid w:val="009744FF"/>
    <w:rsid w:val="00977A29"/>
    <w:rsid w:val="00980157"/>
    <w:rsid w:val="00980AFF"/>
    <w:rsid w:val="0098381C"/>
    <w:rsid w:val="00986444"/>
    <w:rsid w:val="00990A24"/>
    <w:rsid w:val="0099170D"/>
    <w:rsid w:val="00995D44"/>
    <w:rsid w:val="00996306"/>
    <w:rsid w:val="00996DE3"/>
    <w:rsid w:val="00997353"/>
    <w:rsid w:val="009A2254"/>
    <w:rsid w:val="009A2B84"/>
    <w:rsid w:val="009A5883"/>
    <w:rsid w:val="009B0B8A"/>
    <w:rsid w:val="009B198D"/>
    <w:rsid w:val="009B5A35"/>
    <w:rsid w:val="009B646C"/>
    <w:rsid w:val="009B64FE"/>
    <w:rsid w:val="009B70BA"/>
    <w:rsid w:val="009C0608"/>
    <w:rsid w:val="009C09E5"/>
    <w:rsid w:val="009C2BC1"/>
    <w:rsid w:val="009C33C3"/>
    <w:rsid w:val="009C3641"/>
    <w:rsid w:val="009C3A1F"/>
    <w:rsid w:val="009C4A56"/>
    <w:rsid w:val="009C5659"/>
    <w:rsid w:val="009C76B0"/>
    <w:rsid w:val="009D4B0F"/>
    <w:rsid w:val="009D566A"/>
    <w:rsid w:val="009D7B97"/>
    <w:rsid w:val="009E1504"/>
    <w:rsid w:val="009E2EB5"/>
    <w:rsid w:val="009E40A3"/>
    <w:rsid w:val="009E4374"/>
    <w:rsid w:val="009E52B5"/>
    <w:rsid w:val="009E52DA"/>
    <w:rsid w:val="009E5466"/>
    <w:rsid w:val="009E5772"/>
    <w:rsid w:val="009F1033"/>
    <w:rsid w:val="009F2794"/>
    <w:rsid w:val="009F3946"/>
    <w:rsid w:val="009F448E"/>
    <w:rsid w:val="009F7F7A"/>
    <w:rsid w:val="00A04780"/>
    <w:rsid w:val="00A05513"/>
    <w:rsid w:val="00A05C86"/>
    <w:rsid w:val="00A153A3"/>
    <w:rsid w:val="00A156C9"/>
    <w:rsid w:val="00A157A6"/>
    <w:rsid w:val="00A15876"/>
    <w:rsid w:val="00A15D5D"/>
    <w:rsid w:val="00A171C5"/>
    <w:rsid w:val="00A1797A"/>
    <w:rsid w:val="00A208BA"/>
    <w:rsid w:val="00A2393E"/>
    <w:rsid w:val="00A25E3B"/>
    <w:rsid w:val="00A25E8A"/>
    <w:rsid w:val="00A30921"/>
    <w:rsid w:val="00A37840"/>
    <w:rsid w:val="00A47C9A"/>
    <w:rsid w:val="00A51B59"/>
    <w:rsid w:val="00A53501"/>
    <w:rsid w:val="00A540A4"/>
    <w:rsid w:val="00A5751E"/>
    <w:rsid w:val="00A615F7"/>
    <w:rsid w:val="00A61E53"/>
    <w:rsid w:val="00A67A4F"/>
    <w:rsid w:val="00A72E97"/>
    <w:rsid w:val="00A7396A"/>
    <w:rsid w:val="00A73972"/>
    <w:rsid w:val="00A74092"/>
    <w:rsid w:val="00A77341"/>
    <w:rsid w:val="00A77E5B"/>
    <w:rsid w:val="00A80504"/>
    <w:rsid w:val="00A80D66"/>
    <w:rsid w:val="00A827DF"/>
    <w:rsid w:val="00A83A7C"/>
    <w:rsid w:val="00A84333"/>
    <w:rsid w:val="00A84658"/>
    <w:rsid w:val="00A85ABE"/>
    <w:rsid w:val="00A96966"/>
    <w:rsid w:val="00AA0B73"/>
    <w:rsid w:val="00AA28CC"/>
    <w:rsid w:val="00AA3161"/>
    <w:rsid w:val="00AA4752"/>
    <w:rsid w:val="00AA56BE"/>
    <w:rsid w:val="00AA7EFC"/>
    <w:rsid w:val="00AB0B39"/>
    <w:rsid w:val="00AB6ECE"/>
    <w:rsid w:val="00AC0823"/>
    <w:rsid w:val="00AC0B2C"/>
    <w:rsid w:val="00AC392A"/>
    <w:rsid w:val="00AC3B38"/>
    <w:rsid w:val="00AC4F92"/>
    <w:rsid w:val="00AD0167"/>
    <w:rsid w:val="00AD6A4F"/>
    <w:rsid w:val="00AD7691"/>
    <w:rsid w:val="00AE2F67"/>
    <w:rsid w:val="00AE4936"/>
    <w:rsid w:val="00AE64D2"/>
    <w:rsid w:val="00AF0160"/>
    <w:rsid w:val="00AF1C47"/>
    <w:rsid w:val="00AF7604"/>
    <w:rsid w:val="00B01800"/>
    <w:rsid w:val="00B03E2B"/>
    <w:rsid w:val="00B041F7"/>
    <w:rsid w:val="00B0459A"/>
    <w:rsid w:val="00B0497C"/>
    <w:rsid w:val="00B07804"/>
    <w:rsid w:val="00B1271B"/>
    <w:rsid w:val="00B13F92"/>
    <w:rsid w:val="00B15C02"/>
    <w:rsid w:val="00B15D19"/>
    <w:rsid w:val="00B15D47"/>
    <w:rsid w:val="00B162BB"/>
    <w:rsid w:val="00B17F92"/>
    <w:rsid w:val="00B2266A"/>
    <w:rsid w:val="00B2714A"/>
    <w:rsid w:val="00B27F9E"/>
    <w:rsid w:val="00B311D4"/>
    <w:rsid w:val="00B31EEA"/>
    <w:rsid w:val="00B33283"/>
    <w:rsid w:val="00B34FDE"/>
    <w:rsid w:val="00B3646C"/>
    <w:rsid w:val="00B36B7B"/>
    <w:rsid w:val="00B37286"/>
    <w:rsid w:val="00B372B4"/>
    <w:rsid w:val="00B429D7"/>
    <w:rsid w:val="00B506B8"/>
    <w:rsid w:val="00B525B1"/>
    <w:rsid w:val="00B55517"/>
    <w:rsid w:val="00B55E61"/>
    <w:rsid w:val="00B576D2"/>
    <w:rsid w:val="00B57D8B"/>
    <w:rsid w:val="00B60EE6"/>
    <w:rsid w:val="00B61AE2"/>
    <w:rsid w:val="00B620AE"/>
    <w:rsid w:val="00B63974"/>
    <w:rsid w:val="00B6576B"/>
    <w:rsid w:val="00B67385"/>
    <w:rsid w:val="00B70235"/>
    <w:rsid w:val="00B704E2"/>
    <w:rsid w:val="00B72AC3"/>
    <w:rsid w:val="00B73494"/>
    <w:rsid w:val="00B811FD"/>
    <w:rsid w:val="00B82733"/>
    <w:rsid w:val="00B83920"/>
    <w:rsid w:val="00B84D3E"/>
    <w:rsid w:val="00B87076"/>
    <w:rsid w:val="00B87968"/>
    <w:rsid w:val="00B91839"/>
    <w:rsid w:val="00B93390"/>
    <w:rsid w:val="00B93A25"/>
    <w:rsid w:val="00BA156A"/>
    <w:rsid w:val="00BA5361"/>
    <w:rsid w:val="00BB393A"/>
    <w:rsid w:val="00BB3B42"/>
    <w:rsid w:val="00BB65D2"/>
    <w:rsid w:val="00BC166D"/>
    <w:rsid w:val="00BC7238"/>
    <w:rsid w:val="00BD0F37"/>
    <w:rsid w:val="00BD36DD"/>
    <w:rsid w:val="00BD42B7"/>
    <w:rsid w:val="00BD44A3"/>
    <w:rsid w:val="00BD67E7"/>
    <w:rsid w:val="00BE24C9"/>
    <w:rsid w:val="00BE587B"/>
    <w:rsid w:val="00BF2774"/>
    <w:rsid w:val="00BF67B8"/>
    <w:rsid w:val="00C01906"/>
    <w:rsid w:val="00C057CD"/>
    <w:rsid w:val="00C114B4"/>
    <w:rsid w:val="00C13C91"/>
    <w:rsid w:val="00C14D3E"/>
    <w:rsid w:val="00C1520A"/>
    <w:rsid w:val="00C167AC"/>
    <w:rsid w:val="00C171DC"/>
    <w:rsid w:val="00C17EE0"/>
    <w:rsid w:val="00C22DB9"/>
    <w:rsid w:val="00C27AC8"/>
    <w:rsid w:val="00C3551E"/>
    <w:rsid w:val="00C36595"/>
    <w:rsid w:val="00C36C9A"/>
    <w:rsid w:val="00C372AD"/>
    <w:rsid w:val="00C37F33"/>
    <w:rsid w:val="00C37FF1"/>
    <w:rsid w:val="00C41676"/>
    <w:rsid w:val="00C447DE"/>
    <w:rsid w:val="00C46F0A"/>
    <w:rsid w:val="00C5035E"/>
    <w:rsid w:val="00C50753"/>
    <w:rsid w:val="00C53AA3"/>
    <w:rsid w:val="00C56901"/>
    <w:rsid w:val="00C61675"/>
    <w:rsid w:val="00C639ED"/>
    <w:rsid w:val="00C66803"/>
    <w:rsid w:val="00C66AAD"/>
    <w:rsid w:val="00C66F44"/>
    <w:rsid w:val="00C70037"/>
    <w:rsid w:val="00C7058C"/>
    <w:rsid w:val="00C71DD2"/>
    <w:rsid w:val="00C775F0"/>
    <w:rsid w:val="00C8062F"/>
    <w:rsid w:val="00C806BB"/>
    <w:rsid w:val="00C8499A"/>
    <w:rsid w:val="00C84ABA"/>
    <w:rsid w:val="00C851CD"/>
    <w:rsid w:val="00C87EC9"/>
    <w:rsid w:val="00C904B6"/>
    <w:rsid w:val="00C97C24"/>
    <w:rsid w:val="00CA19EA"/>
    <w:rsid w:val="00CA61AF"/>
    <w:rsid w:val="00CB3542"/>
    <w:rsid w:val="00CB40A4"/>
    <w:rsid w:val="00CB5FF3"/>
    <w:rsid w:val="00CB6919"/>
    <w:rsid w:val="00CC356E"/>
    <w:rsid w:val="00CC6B3B"/>
    <w:rsid w:val="00CC774D"/>
    <w:rsid w:val="00CD5701"/>
    <w:rsid w:val="00CD6027"/>
    <w:rsid w:val="00CD6DB8"/>
    <w:rsid w:val="00CE0517"/>
    <w:rsid w:val="00CE084A"/>
    <w:rsid w:val="00CE1F7D"/>
    <w:rsid w:val="00CE3BA8"/>
    <w:rsid w:val="00CE7FFE"/>
    <w:rsid w:val="00CF0579"/>
    <w:rsid w:val="00CF44BB"/>
    <w:rsid w:val="00CF5F9D"/>
    <w:rsid w:val="00CF736E"/>
    <w:rsid w:val="00D02136"/>
    <w:rsid w:val="00D03F12"/>
    <w:rsid w:val="00D12CF5"/>
    <w:rsid w:val="00D14595"/>
    <w:rsid w:val="00D177F4"/>
    <w:rsid w:val="00D206C9"/>
    <w:rsid w:val="00D2127F"/>
    <w:rsid w:val="00D222B9"/>
    <w:rsid w:val="00D23C8E"/>
    <w:rsid w:val="00D33979"/>
    <w:rsid w:val="00D33C64"/>
    <w:rsid w:val="00D3762D"/>
    <w:rsid w:val="00D418FA"/>
    <w:rsid w:val="00D44AA1"/>
    <w:rsid w:val="00D50B08"/>
    <w:rsid w:val="00D62764"/>
    <w:rsid w:val="00D65EC0"/>
    <w:rsid w:val="00D66453"/>
    <w:rsid w:val="00D731DA"/>
    <w:rsid w:val="00D7329F"/>
    <w:rsid w:val="00D74137"/>
    <w:rsid w:val="00D779C1"/>
    <w:rsid w:val="00D779CB"/>
    <w:rsid w:val="00D90604"/>
    <w:rsid w:val="00D969C1"/>
    <w:rsid w:val="00DA01A4"/>
    <w:rsid w:val="00DA1417"/>
    <w:rsid w:val="00DA1DEF"/>
    <w:rsid w:val="00DA247F"/>
    <w:rsid w:val="00DA5ED9"/>
    <w:rsid w:val="00DB373F"/>
    <w:rsid w:val="00DB4F33"/>
    <w:rsid w:val="00DC2060"/>
    <w:rsid w:val="00DC214A"/>
    <w:rsid w:val="00DC2E44"/>
    <w:rsid w:val="00DC6757"/>
    <w:rsid w:val="00DD2120"/>
    <w:rsid w:val="00DD32B4"/>
    <w:rsid w:val="00DD3FEE"/>
    <w:rsid w:val="00DD5320"/>
    <w:rsid w:val="00DD6A75"/>
    <w:rsid w:val="00DE069A"/>
    <w:rsid w:val="00DE5A57"/>
    <w:rsid w:val="00DE5D96"/>
    <w:rsid w:val="00DE6798"/>
    <w:rsid w:val="00DE69FE"/>
    <w:rsid w:val="00DE7CC8"/>
    <w:rsid w:val="00DF061F"/>
    <w:rsid w:val="00DF1FFE"/>
    <w:rsid w:val="00DF510D"/>
    <w:rsid w:val="00DF5A79"/>
    <w:rsid w:val="00DF73FF"/>
    <w:rsid w:val="00E014BD"/>
    <w:rsid w:val="00E03253"/>
    <w:rsid w:val="00E049F8"/>
    <w:rsid w:val="00E06764"/>
    <w:rsid w:val="00E0751E"/>
    <w:rsid w:val="00E0778F"/>
    <w:rsid w:val="00E07EF1"/>
    <w:rsid w:val="00E107BA"/>
    <w:rsid w:val="00E10809"/>
    <w:rsid w:val="00E11778"/>
    <w:rsid w:val="00E13EB4"/>
    <w:rsid w:val="00E1657A"/>
    <w:rsid w:val="00E25AB3"/>
    <w:rsid w:val="00E319D9"/>
    <w:rsid w:val="00E31D8E"/>
    <w:rsid w:val="00E36234"/>
    <w:rsid w:val="00E36841"/>
    <w:rsid w:val="00E41B31"/>
    <w:rsid w:val="00E42FE1"/>
    <w:rsid w:val="00E461EC"/>
    <w:rsid w:val="00E47DC4"/>
    <w:rsid w:val="00E50A9B"/>
    <w:rsid w:val="00E51546"/>
    <w:rsid w:val="00E56588"/>
    <w:rsid w:val="00E57B11"/>
    <w:rsid w:val="00E601C6"/>
    <w:rsid w:val="00E70A40"/>
    <w:rsid w:val="00E73B5C"/>
    <w:rsid w:val="00E75618"/>
    <w:rsid w:val="00E76C18"/>
    <w:rsid w:val="00E77770"/>
    <w:rsid w:val="00E812F9"/>
    <w:rsid w:val="00E81606"/>
    <w:rsid w:val="00E835F5"/>
    <w:rsid w:val="00E844A8"/>
    <w:rsid w:val="00E8549C"/>
    <w:rsid w:val="00E9048A"/>
    <w:rsid w:val="00E91769"/>
    <w:rsid w:val="00E92743"/>
    <w:rsid w:val="00E94E49"/>
    <w:rsid w:val="00E95EEF"/>
    <w:rsid w:val="00E97805"/>
    <w:rsid w:val="00EA5001"/>
    <w:rsid w:val="00EA6729"/>
    <w:rsid w:val="00EB0D1C"/>
    <w:rsid w:val="00EB7113"/>
    <w:rsid w:val="00EC13E3"/>
    <w:rsid w:val="00EC2319"/>
    <w:rsid w:val="00EC303E"/>
    <w:rsid w:val="00ED0A4A"/>
    <w:rsid w:val="00ED683E"/>
    <w:rsid w:val="00EE1903"/>
    <w:rsid w:val="00EE23E9"/>
    <w:rsid w:val="00EE578E"/>
    <w:rsid w:val="00EE6753"/>
    <w:rsid w:val="00EE6C9C"/>
    <w:rsid w:val="00EF10C8"/>
    <w:rsid w:val="00EF1E4F"/>
    <w:rsid w:val="00EF2209"/>
    <w:rsid w:val="00EF3D9E"/>
    <w:rsid w:val="00EF43D8"/>
    <w:rsid w:val="00EF594B"/>
    <w:rsid w:val="00EF60AD"/>
    <w:rsid w:val="00EF71D7"/>
    <w:rsid w:val="00EF7C87"/>
    <w:rsid w:val="00F00145"/>
    <w:rsid w:val="00F00B3B"/>
    <w:rsid w:val="00F00D41"/>
    <w:rsid w:val="00F01E3E"/>
    <w:rsid w:val="00F02627"/>
    <w:rsid w:val="00F045D9"/>
    <w:rsid w:val="00F05886"/>
    <w:rsid w:val="00F0592A"/>
    <w:rsid w:val="00F07E53"/>
    <w:rsid w:val="00F119A6"/>
    <w:rsid w:val="00F12C36"/>
    <w:rsid w:val="00F130C5"/>
    <w:rsid w:val="00F203C1"/>
    <w:rsid w:val="00F21CE4"/>
    <w:rsid w:val="00F23343"/>
    <w:rsid w:val="00F248C9"/>
    <w:rsid w:val="00F25ABF"/>
    <w:rsid w:val="00F260C0"/>
    <w:rsid w:val="00F31389"/>
    <w:rsid w:val="00F32BCB"/>
    <w:rsid w:val="00F35AA1"/>
    <w:rsid w:val="00F40542"/>
    <w:rsid w:val="00F45A2D"/>
    <w:rsid w:val="00F47BC2"/>
    <w:rsid w:val="00F509E4"/>
    <w:rsid w:val="00F51387"/>
    <w:rsid w:val="00F539F8"/>
    <w:rsid w:val="00F53DDF"/>
    <w:rsid w:val="00F5774C"/>
    <w:rsid w:val="00F6123D"/>
    <w:rsid w:val="00F621B7"/>
    <w:rsid w:val="00F6360F"/>
    <w:rsid w:val="00F74EF7"/>
    <w:rsid w:val="00F7563B"/>
    <w:rsid w:val="00F80DA7"/>
    <w:rsid w:val="00F81E0E"/>
    <w:rsid w:val="00F8487D"/>
    <w:rsid w:val="00F904D5"/>
    <w:rsid w:val="00F91759"/>
    <w:rsid w:val="00F921DA"/>
    <w:rsid w:val="00F93277"/>
    <w:rsid w:val="00F94F9F"/>
    <w:rsid w:val="00F975CB"/>
    <w:rsid w:val="00F975CE"/>
    <w:rsid w:val="00F979DA"/>
    <w:rsid w:val="00FA0A55"/>
    <w:rsid w:val="00FA3070"/>
    <w:rsid w:val="00FB3439"/>
    <w:rsid w:val="00FB662F"/>
    <w:rsid w:val="00FC0BE0"/>
    <w:rsid w:val="00FC53EB"/>
    <w:rsid w:val="00FC56ED"/>
    <w:rsid w:val="00FC71AB"/>
    <w:rsid w:val="00FC7418"/>
    <w:rsid w:val="00FD1EDA"/>
    <w:rsid w:val="00FD3400"/>
    <w:rsid w:val="00FD368E"/>
    <w:rsid w:val="00FD7DCD"/>
    <w:rsid w:val="00FE0031"/>
    <w:rsid w:val="00FE219B"/>
    <w:rsid w:val="00FE3193"/>
    <w:rsid w:val="00FE3F33"/>
    <w:rsid w:val="00FE45C6"/>
    <w:rsid w:val="00FE462F"/>
    <w:rsid w:val="00FE6B6E"/>
    <w:rsid w:val="00FF071D"/>
    <w:rsid w:val="00FF1225"/>
    <w:rsid w:val="00FF25B7"/>
    <w:rsid w:val="00FF2B7E"/>
    <w:rsid w:val="00FF39C4"/>
    <w:rsid w:val="00FF6AC0"/>
    <w:rsid w:val="00FF6BEA"/>
    <w:rsid w:val="00FF6E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AE7F96B"/>
  <w15:docId w15:val="{2A618474-9BD4-4BE3-BF73-DFB221669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4F7D"/>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link w:val="a8"/>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0E4F7D"/>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a">
    <w:name w:val="כותרת עליונה תו"/>
    <w:basedOn w:val="a0"/>
    <w:link w:val="a9"/>
    <w:rsid w:val="000E4F7D"/>
    <w:rPr>
      <w:rFonts w:ascii="Times New Roman" w:eastAsia="Times New Roman" w:hAnsi="Times New Roman" w:cs="FrankRuehl"/>
      <w:b/>
      <w:bCs/>
      <w:sz w:val="26"/>
      <w:szCs w:val="26"/>
      <w:lang w:eastAsia="he-IL"/>
    </w:rPr>
  </w:style>
  <w:style w:type="paragraph" w:styleId="ab">
    <w:name w:val="footer"/>
    <w:basedOn w:val="a"/>
    <w:link w:val="ac"/>
    <w:rsid w:val="000E4F7D"/>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c">
    <w:name w:val="כותרת תחתונה תו"/>
    <w:basedOn w:val="a0"/>
    <w:link w:val="ab"/>
    <w:rsid w:val="000E4F7D"/>
    <w:rPr>
      <w:rFonts w:ascii="Times New Roman" w:eastAsia="Times New Roman" w:hAnsi="Times New Roman" w:cs="Narkisim"/>
      <w:b/>
      <w:bCs/>
      <w:sz w:val="20"/>
      <w:szCs w:val="26"/>
      <w:lang w:eastAsia="he-IL"/>
    </w:rPr>
  </w:style>
  <w:style w:type="character" w:styleId="ad">
    <w:name w:val="page number"/>
    <w:basedOn w:val="a0"/>
    <w:rsid w:val="000E4F7D"/>
  </w:style>
  <w:style w:type="table" w:styleId="ae">
    <w:name w:val="Table Grid"/>
    <w:basedOn w:val="a1"/>
    <w:uiPriority w:val="59"/>
    <w:rsid w:val="00C22DB9"/>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0"/>
    <w:uiPriority w:val="99"/>
    <w:semiHidden/>
    <w:unhideWhenUsed/>
    <w:rsid w:val="00A2393E"/>
    <w:rPr>
      <w:sz w:val="16"/>
      <w:szCs w:val="16"/>
    </w:rPr>
  </w:style>
  <w:style w:type="paragraph" w:styleId="af0">
    <w:name w:val="annotation text"/>
    <w:basedOn w:val="a"/>
    <w:link w:val="af1"/>
    <w:uiPriority w:val="99"/>
    <w:unhideWhenUsed/>
    <w:rsid w:val="00A2393E"/>
    <w:rPr>
      <w:sz w:val="20"/>
      <w:szCs w:val="20"/>
    </w:rPr>
  </w:style>
  <w:style w:type="character" w:customStyle="1" w:styleId="af1">
    <w:name w:val="טקסט הערה תו"/>
    <w:basedOn w:val="a0"/>
    <w:link w:val="af0"/>
    <w:uiPriority w:val="99"/>
    <w:rsid w:val="00A2393E"/>
    <w:rPr>
      <w:rFonts w:ascii="Times New Roman" w:eastAsia="Times New Roman" w:hAnsi="Times New Roman" w:cs="FrankRuehl"/>
      <w:sz w:val="20"/>
      <w:szCs w:val="20"/>
      <w:lang w:eastAsia="he-IL"/>
    </w:rPr>
  </w:style>
  <w:style w:type="paragraph" w:styleId="af2">
    <w:name w:val="annotation subject"/>
    <w:basedOn w:val="af0"/>
    <w:next w:val="af0"/>
    <w:link w:val="af3"/>
    <w:uiPriority w:val="99"/>
    <w:semiHidden/>
    <w:unhideWhenUsed/>
    <w:rsid w:val="00A2393E"/>
    <w:rPr>
      <w:b/>
      <w:bCs/>
    </w:rPr>
  </w:style>
  <w:style w:type="character" w:customStyle="1" w:styleId="af3">
    <w:name w:val="נושא הערה תו"/>
    <w:basedOn w:val="af1"/>
    <w:link w:val="af2"/>
    <w:uiPriority w:val="99"/>
    <w:semiHidden/>
    <w:rsid w:val="00A2393E"/>
    <w:rPr>
      <w:rFonts w:ascii="Times New Roman" w:eastAsia="Times New Roman" w:hAnsi="Times New Roman" w:cs="FrankRuehl"/>
      <w:b/>
      <w:bCs/>
      <w:sz w:val="20"/>
      <w:szCs w:val="20"/>
      <w:lang w:eastAsia="he-IL"/>
    </w:rPr>
  </w:style>
  <w:style w:type="paragraph" w:styleId="af4">
    <w:name w:val="Revision"/>
    <w:hidden/>
    <w:uiPriority w:val="99"/>
    <w:semiHidden/>
    <w:rsid w:val="00A2393E"/>
    <w:pPr>
      <w:spacing w:before="0" w:after="0" w:line="240" w:lineRule="auto"/>
    </w:pPr>
    <w:rPr>
      <w:rFonts w:ascii="Times New Roman" w:eastAsia="Times New Roman" w:hAnsi="Times New Roman" w:cs="FrankRuehl"/>
      <w:sz w:val="24"/>
      <w:szCs w:val="26"/>
      <w:lang w:eastAsia="he-IL"/>
    </w:rPr>
  </w:style>
  <w:style w:type="paragraph" w:styleId="af5">
    <w:name w:val="Balloon Text"/>
    <w:basedOn w:val="a"/>
    <w:link w:val="af6"/>
    <w:uiPriority w:val="99"/>
    <w:semiHidden/>
    <w:unhideWhenUsed/>
    <w:rsid w:val="00A2393E"/>
    <w:rPr>
      <w:rFonts w:ascii="Tahoma" w:hAnsi="Tahoma" w:cs="Tahoma"/>
      <w:sz w:val="18"/>
      <w:szCs w:val="18"/>
    </w:rPr>
  </w:style>
  <w:style w:type="character" w:customStyle="1" w:styleId="af6">
    <w:name w:val="טקסט בלונים תו"/>
    <w:basedOn w:val="a0"/>
    <w:link w:val="af5"/>
    <w:uiPriority w:val="99"/>
    <w:semiHidden/>
    <w:rsid w:val="00A2393E"/>
    <w:rPr>
      <w:rFonts w:ascii="Tahoma" w:eastAsia="Times New Roman" w:hAnsi="Tahoma" w:cs="Tahoma"/>
      <w:sz w:val="18"/>
      <w:szCs w:val="18"/>
      <w:lang w:eastAsia="he-IL"/>
    </w:rPr>
  </w:style>
  <w:style w:type="character" w:styleId="Hyperlink">
    <w:name w:val="Hyperlink"/>
    <w:basedOn w:val="a0"/>
    <w:uiPriority w:val="99"/>
    <w:unhideWhenUsed/>
    <w:rsid w:val="00CE7FFE"/>
    <w:rPr>
      <w:color w:val="0000FF" w:themeColor="hyperlink"/>
      <w:u w:val="single"/>
    </w:rPr>
  </w:style>
  <w:style w:type="paragraph" w:styleId="TOC8">
    <w:name w:val="toc 8"/>
    <w:basedOn w:val="a"/>
    <w:next w:val="a"/>
    <w:autoRedefine/>
    <w:uiPriority w:val="39"/>
    <w:semiHidden/>
    <w:unhideWhenUsed/>
    <w:rsid w:val="003C6A47"/>
    <w:pPr>
      <w:spacing w:after="100"/>
      <w:ind w:left="1680"/>
    </w:pPr>
  </w:style>
  <w:style w:type="paragraph" w:styleId="TOC9">
    <w:name w:val="toc 9"/>
    <w:basedOn w:val="a"/>
    <w:next w:val="a"/>
    <w:autoRedefine/>
    <w:uiPriority w:val="39"/>
    <w:semiHidden/>
    <w:unhideWhenUsed/>
    <w:rsid w:val="003C6A47"/>
    <w:pPr>
      <w:spacing w:after="100"/>
      <w:ind w:left="1920"/>
    </w:pPr>
  </w:style>
  <w:style w:type="paragraph" w:styleId="af7">
    <w:name w:val="footnote text"/>
    <w:basedOn w:val="a"/>
    <w:link w:val="af8"/>
    <w:uiPriority w:val="99"/>
    <w:semiHidden/>
    <w:unhideWhenUsed/>
    <w:rsid w:val="0014427A"/>
    <w:pPr>
      <w:jc w:val="both"/>
    </w:pPr>
    <w:rPr>
      <w:rFonts w:eastAsiaTheme="minorHAnsi"/>
      <w:sz w:val="20"/>
      <w:szCs w:val="20"/>
      <w:lang w:eastAsia="en-US"/>
    </w:rPr>
  </w:style>
  <w:style w:type="character" w:customStyle="1" w:styleId="af8">
    <w:name w:val="טקסט הערת שוליים תו"/>
    <w:basedOn w:val="a0"/>
    <w:link w:val="af7"/>
    <w:uiPriority w:val="99"/>
    <w:semiHidden/>
    <w:rsid w:val="0014427A"/>
    <w:rPr>
      <w:rFonts w:ascii="Times New Roman" w:hAnsi="Times New Roman" w:cs="FrankRuehl"/>
      <w:sz w:val="20"/>
      <w:szCs w:val="20"/>
    </w:rPr>
  </w:style>
  <w:style w:type="character" w:styleId="af9">
    <w:name w:val="footnote reference"/>
    <w:basedOn w:val="a0"/>
    <w:uiPriority w:val="99"/>
    <w:semiHidden/>
    <w:unhideWhenUsed/>
    <w:rsid w:val="0014427A"/>
    <w:rPr>
      <w:vertAlign w:val="superscript"/>
    </w:rPr>
  </w:style>
  <w:style w:type="character" w:styleId="afa">
    <w:name w:val="Strong"/>
    <w:basedOn w:val="a0"/>
    <w:uiPriority w:val="22"/>
    <w:qFormat/>
    <w:rsid w:val="00445C3A"/>
    <w:rPr>
      <w:b/>
      <w:bCs/>
    </w:rPr>
  </w:style>
  <w:style w:type="paragraph" w:styleId="NormalWeb">
    <w:name w:val="Normal (Web)"/>
    <w:basedOn w:val="a"/>
    <w:uiPriority w:val="99"/>
    <w:rsid w:val="00831E4F"/>
    <w:pPr>
      <w:bidi w:val="0"/>
      <w:spacing w:before="100" w:beforeAutospacing="1" w:after="100" w:afterAutospacing="1"/>
    </w:pPr>
    <w:rPr>
      <w:rFonts w:cs="Times New Roman"/>
      <w:szCs w:val="24"/>
      <w:lang w:eastAsia="en-US"/>
    </w:rPr>
  </w:style>
  <w:style w:type="character" w:styleId="afb">
    <w:name w:val="Emphasis"/>
    <w:basedOn w:val="a0"/>
    <w:uiPriority w:val="20"/>
    <w:qFormat/>
    <w:rsid w:val="00933F80"/>
    <w:rPr>
      <w:i/>
      <w:iCs/>
    </w:rPr>
  </w:style>
  <w:style w:type="table" w:styleId="11">
    <w:name w:val="Plain Table 1"/>
    <w:basedOn w:val="a1"/>
    <w:uiPriority w:val="41"/>
    <w:rsid w:val="00A83A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3-2">
    <w:name w:val="Grid Table 3 Accent 2"/>
    <w:basedOn w:val="a1"/>
    <w:uiPriority w:val="48"/>
    <w:rsid w:val="00A83A7C"/>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2-6">
    <w:name w:val="Grid Table 2 Accent 6"/>
    <w:basedOn w:val="a1"/>
    <w:uiPriority w:val="47"/>
    <w:rsid w:val="00A83A7C"/>
    <w:pPr>
      <w:spacing w:after="0" w:line="240" w:lineRule="auto"/>
    </w:p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4-3">
    <w:name w:val="Grid Table 4 Accent 3"/>
    <w:basedOn w:val="a1"/>
    <w:uiPriority w:val="49"/>
    <w:rsid w:val="00A83A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5-1">
    <w:name w:val="Grid Table 5 Dark Accent 1"/>
    <w:basedOn w:val="a1"/>
    <w:uiPriority w:val="50"/>
    <w:rsid w:val="00306EB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1-2">
    <w:name w:val="Grid Table 1 Light Accent 2"/>
    <w:basedOn w:val="a1"/>
    <w:uiPriority w:val="46"/>
    <w:rsid w:val="00306EB9"/>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1-3">
    <w:name w:val="Grid Table 1 Light Accent 3"/>
    <w:basedOn w:val="a1"/>
    <w:uiPriority w:val="46"/>
    <w:rsid w:val="00306EB9"/>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7-6">
    <w:name w:val="Grid Table 7 Colorful Accent 6"/>
    <w:basedOn w:val="a1"/>
    <w:uiPriority w:val="52"/>
    <w:rsid w:val="00306EB9"/>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4-4">
    <w:name w:val="Grid Table 4 Accent 4"/>
    <w:basedOn w:val="a1"/>
    <w:uiPriority w:val="49"/>
    <w:rsid w:val="00306EB9"/>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4-1">
    <w:name w:val="Grid Table 4 Accent 1"/>
    <w:basedOn w:val="a1"/>
    <w:uiPriority w:val="49"/>
    <w:rsid w:val="00306EB9"/>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First">
    <w:name w:val="First"/>
    <w:basedOn w:val="a"/>
    <w:rsid w:val="00B3646C"/>
    <w:pPr>
      <w:spacing w:line="280" w:lineRule="atLeast"/>
      <w:ind w:left="567" w:hanging="567"/>
      <w:jc w:val="both"/>
    </w:pPr>
    <w:rPr>
      <w:rFonts w:cs="David"/>
    </w:rPr>
  </w:style>
  <w:style w:type="character" w:customStyle="1" w:styleId="a8">
    <w:name w:val="פיסקת רשימה תו"/>
    <w:link w:val="a7"/>
    <w:uiPriority w:val="34"/>
    <w:rsid w:val="00B3646C"/>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44427">
      <w:bodyDiv w:val="1"/>
      <w:marLeft w:val="0"/>
      <w:marRight w:val="0"/>
      <w:marTop w:val="0"/>
      <w:marBottom w:val="0"/>
      <w:divBdr>
        <w:top w:val="none" w:sz="0" w:space="0" w:color="auto"/>
        <w:left w:val="none" w:sz="0" w:space="0" w:color="auto"/>
        <w:bottom w:val="none" w:sz="0" w:space="0" w:color="auto"/>
        <w:right w:val="none" w:sz="0" w:space="0" w:color="auto"/>
      </w:divBdr>
    </w:div>
    <w:div w:id="29654140">
      <w:bodyDiv w:val="1"/>
      <w:marLeft w:val="0"/>
      <w:marRight w:val="0"/>
      <w:marTop w:val="0"/>
      <w:marBottom w:val="0"/>
      <w:divBdr>
        <w:top w:val="none" w:sz="0" w:space="0" w:color="auto"/>
        <w:left w:val="none" w:sz="0" w:space="0" w:color="auto"/>
        <w:bottom w:val="none" w:sz="0" w:space="0" w:color="auto"/>
        <w:right w:val="none" w:sz="0" w:space="0" w:color="auto"/>
      </w:divBdr>
    </w:div>
    <w:div w:id="40711526">
      <w:bodyDiv w:val="1"/>
      <w:marLeft w:val="0"/>
      <w:marRight w:val="0"/>
      <w:marTop w:val="0"/>
      <w:marBottom w:val="0"/>
      <w:divBdr>
        <w:top w:val="none" w:sz="0" w:space="0" w:color="auto"/>
        <w:left w:val="none" w:sz="0" w:space="0" w:color="auto"/>
        <w:bottom w:val="none" w:sz="0" w:space="0" w:color="auto"/>
        <w:right w:val="none" w:sz="0" w:space="0" w:color="auto"/>
      </w:divBdr>
    </w:div>
    <w:div w:id="83310726">
      <w:bodyDiv w:val="1"/>
      <w:marLeft w:val="0"/>
      <w:marRight w:val="0"/>
      <w:marTop w:val="0"/>
      <w:marBottom w:val="0"/>
      <w:divBdr>
        <w:top w:val="none" w:sz="0" w:space="0" w:color="auto"/>
        <w:left w:val="none" w:sz="0" w:space="0" w:color="auto"/>
        <w:bottom w:val="none" w:sz="0" w:space="0" w:color="auto"/>
        <w:right w:val="none" w:sz="0" w:space="0" w:color="auto"/>
      </w:divBdr>
    </w:div>
    <w:div w:id="85422795">
      <w:bodyDiv w:val="1"/>
      <w:marLeft w:val="0"/>
      <w:marRight w:val="0"/>
      <w:marTop w:val="0"/>
      <w:marBottom w:val="0"/>
      <w:divBdr>
        <w:top w:val="none" w:sz="0" w:space="0" w:color="auto"/>
        <w:left w:val="none" w:sz="0" w:space="0" w:color="auto"/>
        <w:bottom w:val="none" w:sz="0" w:space="0" w:color="auto"/>
        <w:right w:val="none" w:sz="0" w:space="0" w:color="auto"/>
      </w:divBdr>
    </w:div>
    <w:div w:id="136608134">
      <w:bodyDiv w:val="1"/>
      <w:marLeft w:val="0"/>
      <w:marRight w:val="0"/>
      <w:marTop w:val="0"/>
      <w:marBottom w:val="0"/>
      <w:divBdr>
        <w:top w:val="none" w:sz="0" w:space="0" w:color="auto"/>
        <w:left w:val="none" w:sz="0" w:space="0" w:color="auto"/>
        <w:bottom w:val="none" w:sz="0" w:space="0" w:color="auto"/>
        <w:right w:val="none" w:sz="0" w:space="0" w:color="auto"/>
      </w:divBdr>
    </w:div>
    <w:div w:id="170265516">
      <w:bodyDiv w:val="1"/>
      <w:marLeft w:val="0"/>
      <w:marRight w:val="0"/>
      <w:marTop w:val="0"/>
      <w:marBottom w:val="0"/>
      <w:divBdr>
        <w:top w:val="none" w:sz="0" w:space="0" w:color="auto"/>
        <w:left w:val="none" w:sz="0" w:space="0" w:color="auto"/>
        <w:bottom w:val="none" w:sz="0" w:space="0" w:color="auto"/>
        <w:right w:val="none" w:sz="0" w:space="0" w:color="auto"/>
      </w:divBdr>
    </w:div>
    <w:div w:id="205147757">
      <w:bodyDiv w:val="1"/>
      <w:marLeft w:val="0"/>
      <w:marRight w:val="0"/>
      <w:marTop w:val="0"/>
      <w:marBottom w:val="0"/>
      <w:divBdr>
        <w:top w:val="none" w:sz="0" w:space="0" w:color="auto"/>
        <w:left w:val="none" w:sz="0" w:space="0" w:color="auto"/>
        <w:bottom w:val="none" w:sz="0" w:space="0" w:color="auto"/>
        <w:right w:val="none" w:sz="0" w:space="0" w:color="auto"/>
      </w:divBdr>
    </w:div>
    <w:div w:id="219101297">
      <w:bodyDiv w:val="1"/>
      <w:marLeft w:val="0"/>
      <w:marRight w:val="0"/>
      <w:marTop w:val="0"/>
      <w:marBottom w:val="0"/>
      <w:divBdr>
        <w:top w:val="none" w:sz="0" w:space="0" w:color="auto"/>
        <w:left w:val="none" w:sz="0" w:space="0" w:color="auto"/>
        <w:bottom w:val="none" w:sz="0" w:space="0" w:color="auto"/>
        <w:right w:val="none" w:sz="0" w:space="0" w:color="auto"/>
      </w:divBdr>
    </w:div>
    <w:div w:id="254939797">
      <w:bodyDiv w:val="1"/>
      <w:marLeft w:val="0"/>
      <w:marRight w:val="0"/>
      <w:marTop w:val="0"/>
      <w:marBottom w:val="0"/>
      <w:divBdr>
        <w:top w:val="none" w:sz="0" w:space="0" w:color="auto"/>
        <w:left w:val="none" w:sz="0" w:space="0" w:color="auto"/>
        <w:bottom w:val="none" w:sz="0" w:space="0" w:color="auto"/>
        <w:right w:val="none" w:sz="0" w:space="0" w:color="auto"/>
      </w:divBdr>
    </w:div>
    <w:div w:id="312952217">
      <w:bodyDiv w:val="1"/>
      <w:marLeft w:val="0"/>
      <w:marRight w:val="0"/>
      <w:marTop w:val="0"/>
      <w:marBottom w:val="0"/>
      <w:divBdr>
        <w:top w:val="none" w:sz="0" w:space="0" w:color="auto"/>
        <w:left w:val="none" w:sz="0" w:space="0" w:color="auto"/>
        <w:bottom w:val="none" w:sz="0" w:space="0" w:color="auto"/>
        <w:right w:val="none" w:sz="0" w:space="0" w:color="auto"/>
      </w:divBdr>
      <w:divsChild>
        <w:div w:id="959189394">
          <w:marLeft w:val="0"/>
          <w:marRight w:val="547"/>
          <w:marTop w:val="0"/>
          <w:marBottom w:val="0"/>
          <w:divBdr>
            <w:top w:val="none" w:sz="0" w:space="0" w:color="auto"/>
            <w:left w:val="none" w:sz="0" w:space="0" w:color="auto"/>
            <w:bottom w:val="none" w:sz="0" w:space="0" w:color="auto"/>
            <w:right w:val="none" w:sz="0" w:space="0" w:color="auto"/>
          </w:divBdr>
        </w:div>
        <w:div w:id="1527211748">
          <w:marLeft w:val="0"/>
          <w:marRight w:val="1166"/>
          <w:marTop w:val="0"/>
          <w:marBottom w:val="0"/>
          <w:divBdr>
            <w:top w:val="none" w:sz="0" w:space="0" w:color="auto"/>
            <w:left w:val="none" w:sz="0" w:space="0" w:color="auto"/>
            <w:bottom w:val="none" w:sz="0" w:space="0" w:color="auto"/>
            <w:right w:val="none" w:sz="0" w:space="0" w:color="auto"/>
          </w:divBdr>
        </w:div>
        <w:div w:id="266543857">
          <w:marLeft w:val="0"/>
          <w:marRight w:val="1166"/>
          <w:marTop w:val="0"/>
          <w:marBottom w:val="0"/>
          <w:divBdr>
            <w:top w:val="none" w:sz="0" w:space="0" w:color="auto"/>
            <w:left w:val="none" w:sz="0" w:space="0" w:color="auto"/>
            <w:bottom w:val="none" w:sz="0" w:space="0" w:color="auto"/>
            <w:right w:val="none" w:sz="0" w:space="0" w:color="auto"/>
          </w:divBdr>
        </w:div>
        <w:div w:id="1415860470">
          <w:marLeft w:val="0"/>
          <w:marRight w:val="1166"/>
          <w:marTop w:val="0"/>
          <w:marBottom w:val="0"/>
          <w:divBdr>
            <w:top w:val="none" w:sz="0" w:space="0" w:color="auto"/>
            <w:left w:val="none" w:sz="0" w:space="0" w:color="auto"/>
            <w:bottom w:val="none" w:sz="0" w:space="0" w:color="auto"/>
            <w:right w:val="none" w:sz="0" w:space="0" w:color="auto"/>
          </w:divBdr>
        </w:div>
      </w:divsChild>
    </w:div>
    <w:div w:id="342557743">
      <w:bodyDiv w:val="1"/>
      <w:marLeft w:val="0"/>
      <w:marRight w:val="0"/>
      <w:marTop w:val="0"/>
      <w:marBottom w:val="0"/>
      <w:divBdr>
        <w:top w:val="none" w:sz="0" w:space="0" w:color="auto"/>
        <w:left w:val="none" w:sz="0" w:space="0" w:color="auto"/>
        <w:bottom w:val="none" w:sz="0" w:space="0" w:color="auto"/>
        <w:right w:val="none" w:sz="0" w:space="0" w:color="auto"/>
      </w:divBdr>
    </w:div>
    <w:div w:id="343898630">
      <w:bodyDiv w:val="1"/>
      <w:marLeft w:val="0"/>
      <w:marRight w:val="0"/>
      <w:marTop w:val="0"/>
      <w:marBottom w:val="0"/>
      <w:divBdr>
        <w:top w:val="none" w:sz="0" w:space="0" w:color="auto"/>
        <w:left w:val="none" w:sz="0" w:space="0" w:color="auto"/>
        <w:bottom w:val="none" w:sz="0" w:space="0" w:color="auto"/>
        <w:right w:val="none" w:sz="0" w:space="0" w:color="auto"/>
      </w:divBdr>
    </w:div>
    <w:div w:id="350106627">
      <w:bodyDiv w:val="1"/>
      <w:marLeft w:val="0"/>
      <w:marRight w:val="0"/>
      <w:marTop w:val="0"/>
      <w:marBottom w:val="0"/>
      <w:divBdr>
        <w:top w:val="none" w:sz="0" w:space="0" w:color="auto"/>
        <w:left w:val="none" w:sz="0" w:space="0" w:color="auto"/>
        <w:bottom w:val="none" w:sz="0" w:space="0" w:color="auto"/>
        <w:right w:val="none" w:sz="0" w:space="0" w:color="auto"/>
      </w:divBdr>
    </w:div>
    <w:div w:id="359551542">
      <w:bodyDiv w:val="1"/>
      <w:marLeft w:val="0"/>
      <w:marRight w:val="0"/>
      <w:marTop w:val="0"/>
      <w:marBottom w:val="0"/>
      <w:divBdr>
        <w:top w:val="none" w:sz="0" w:space="0" w:color="auto"/>
        <w:left w:val="none" w:sz="0" w:space="0" w:color="auto"/>
        <w:bottom w:val="none" w:sz="0" w:space="0" w:color="auto"/>
        <w:right w:val="none" w:sz="0" w:space="0" w:color="auto"/>
      </w:divBdr>
    </w:div>
    <w:div w:id="368186000">
      <w:bodyDiv w:val="1"/>
      <w:marLeft w:val="0"/>
      <w:marRight w:val="0"/>
      <w:marTop w:val="0"/>
      <w:marBottom w:val="0"/>
      <w:divBdr>
        <w:top w:val="none" w:sz="0" w:space="0" w:color="auto"/>
        <w:left w:val="none" w:sz="0" w:space="0" w:color="auto"/>
        <w:bottom w:val="none" w:sz="0" w:space="0" w:color="auto"/>
        <w:right w:val="none" w:sz="0" w:space="0" w:color="auto"/>
      </w:divBdr>
    </w:div>
    <w:div w:id="414596444">
      <w:bodyDiv w:val="1"/>
      <w:marLeft w:val="0"/>
      <w:marRight w:val="0"/>
      <w:marTop w:val="0"/>
      <w:marBottom w:val="0"/>
      <w:divBdr>
        <w:top w:val="none" w:sz="0" w:space="0" w:color="auto"/>
        <w:left w:val="none" w:sz="0" w:space="0" w:color="auto"/>
        <w:bottom w:val="none" w:sz="0" w:space="0" w:color="auto"/>
        <w:right w:val="none" w:sz="0" w:space="0" w:color="auto"/>
      </w:divBdr>
    </w:div>
    <w:div w:id="477184991">
      <w:bodyDiv w:val="1"/>
      <w:marLeft w:val="0"/>
      <w:marRight w:val="0"/>
      <w:marTop w:val="0"/>
      <w:marBottom w:val="0"/>
      <w:divBdr>
        <w:top w:val="none" w:sz="0" w:space="0" w:color="auto"/>
        <w:left w:val="none" w:sz="0" w:space="0" w:color="auto"/>
        <w:bottom w:val="none" w:sz="0" w:space="0" w:color="auto"/>
        <w:right w:val="none" w:sz="0" w:space="0" w:color="auto"/>
      </w:divBdr>
    </w:div>
    <w:div w:id="591471112">
      <w:bodyDiv w:val="1"/>
      <w:marLeft w:val="0"/>
      <w:marRight w:val="0"/>
      <w:marTop w:val="0"/>
      <w:marBottom w:val="0"/>
      <w:divBdr>
        <w:top w:val="none" w:sz="0" w:space="0" w:color="auto"/>
        <w:left w:val="none" w:sz="0" w:space="0" w:color="auto"/>
        <w:bottom w:val="none" w:sz="0" w:space="0" w:color="auto"/>
        <w:right w:val="none" w:sz="0" w:space="0" w:color="auto"/>
      </w:divBdr>
    </w:div>
    <w:div w:id="616183272">
      <w:bodyDiv w:val="1"/>
      <w:marLeft w:val="0"/>
      <w:marRight w:val="0"/>
      <w:marTop w:val="0"/>
      <w:marBottom w:val="0"/>
      <w:divBdr>
        <w:top w:val="none" w:sz="0" w:space="0" w:color="auto"/>
        <w:left w:val="none" w:sz="0" w:space="0" w:color="auto"/>
        <w:bottom w:val="none" w:sz="0" w:space="0" w:color="auto"/>
        <w:right w:val="none" w:sz="0" w:space="0" w:color="auto"/>
      </w:divBdr>
    </w:div>
    <w:div w:id="654458666">
      <w:bodyDiv w:val="1"/>
      <w:marLeft w:val="0"/>
      <w:marRight w:val="0"/>
      <w:marTop w:val="0"/>
      <w:marBottom w:val="0"/>
      <w:divBdr>
        <w:top w:val="none" w:sz="0" w:space="0" w:color="auto"/>
        <w:left w:val="none" w:sz="0" w:space="0" w:color="auto"/>
        <w:bottom w:val="none" w:sz="0" w:space="0" w:color="auto"/>
        <w:right w:val="none" w:sz="0" w:space="0" w:color="auto"/>
      </w:divBdr>
    </w:div>
    <w:div w:id="666248827">
      <w:bodyDiv w:val="1"/>
      <w:marLeft w:val="0"/>
      <w:marRight w:val="0"/>
      <w:marTop w:val="0"/>
      <w:marBottom w:val="0"/>
      <w:divBdr>
        <w:top w:val="none" w:sz="0" w:space="0" w:color="auto"/>
        <w:left w:val="none" w:sz="0" w:space="0" w:color="auto"/>
        <w:bottom w:val="none" w:sz="0" w:space="0" w:color="auto"/>
        <w:right w:val="none" w:sz="0" w:space="0" w:color="auto"/>
      </w:divBdr>
    </w:div>
    <w:div w:id="804733874">
      <w:bodyDiv w:val="1"/>
      <w:marLeft w:val="0"/>
      <w:marRight w:val="0"/>
      <w:marTop w:val="0"/>
      <w:marBottom w:val="0"/>
      <w:divBdr>
        <w:top w:val="none" w:sz="0" w:space="0" w:color="auto"/>
        <w:left w:val="none" w:sz="0" w:space="0" w:color="auto"/>
        <w:bottom w:val="none" w:sz="0" w:space="0" w:color="auto"/>
        <w:right w:val="none" w:sz="0" w:space="0" w:color="auto"/>
      </w:divBdr>
    </w:div>
    <w:div w:id="813136211">
      <w:bodyDiv w:val="1"/>
      <w:marLeft w:val="0"/>
      <w:marRight w:val="0"/>
      <w:marTop w:val="0"/>
      <w:marBottom w:val="0"/>
      <w:divBdr>
        <w:top w:val="none" w:sz="0" w:space="0" w:color="auto"/>
        <w:left w:val="none" w:sz="0" w:space="0" w:color="auto"/>
        <w:bottom w:val="none" w:sz="0" w:space="0" w:color="auto"/>
        <w:right w:val="none" w:sz="0" w:space="0" w:color="auto"/>
      </w:divBdr>
    </w:div>
    <w:div w:id="835804926">
      <w:bodyDiv w:val="1"/>
      <w:marLeft w:val="0"/>
      <w:marRight w:val="0"/>
      <w:marTop w:val="0"/>
      <w:marBottom w:val="0"/>
      <w:divBdr>
        <w:top w:val="none" w:sz="0" w:space="0" w:color="auto"/>
        <w:left w:val="none" w:sz="0" w:space="0" w:color="auto"/>
        <w:bottom w:val="none" w:sz="0" w:space="0" w:color="auto"/>
        <w:right w:val="none" w:sz="0" w:space="0" w:color="auto"/>
      </w:divBdr>
    </w:div>
    <w:div w:id="889725476">
      <w:bodyDiv w:val="1"/>
      <w:marLeft w:val="0"/>
      <w:marRight w:val="0"/>
      <w:marTop w:val="0"/>
      <w:marBottom w:val="0"/>
      <w:divBdr>
        <w:top w:val="none" w:sz="0" w:space="0" w:color="auto"/>
        <w:left w:val="none" w:sz="0" w:space="0" w:color="auto"/>
        <w:bottom w:val="none" w:sz="0" w:space="0" w:color="auto"/>
        <w:right w:val="none" w:sz="0" w:space="0" w:color="auto"/>
      </w:divBdr>
    </w:div>
    <w:div w:id="921720593">
      <w:bodyDiv w:val="1"/>
      <w:marLeft w:val="0"/>
      <w:marRight w:val="0"/>
      <w:marTop w:val="0"/>
      <w:marBottom w:val="0"/>
      <w:divBdr>
        <w:top w:val="none" w:sz="0" w:space="0" w:color="auto"/>
        <w:left w:val="none" w:sz="0" w:space="0" w:color="auto"/>
        <w:bottom w:val="none" w:sz="0" w:space="0" w:color="auto"/>
        <w:right w:val="none" w:sz="0" w:space="0" w:color="auto"/>
      </w:divBdr>
    </w:div>
    <w:div w:id="939530843">
      <w:bodyDiv w:val="1"/>
      <w:marLeft w:val="0"/>
      <w:marRight w:val="0"/>
      <w:marTop w:val="0"/>
      <w:marBottom w:val="0"/>
      <w:divBdr>
        <w:top w:val="none" w:sz="0" w:space="0" w:color="auto"/>
        <w:left w:val="none" w:sz="0" w:space="0" w:color="auto"/>
        <w:bottom w:val="none" w:sz="0" w:space="0" w:color="auto"/>
        <w:right w:val="none" w:sz="0" w:space="0" w:color="auto"/>
      </w:divBdr>
    </w:div>
    <w:div w:id="945889432">
      <w:bodyDiv w:val="1"/>
      <w:marLeft w:val="0"/>
      <w:marRight w:val="0"/>
      <w:marTop w:val="0"/>
      <w:marBottom w:val="0"/>
      <w:divBdr>
        <w:top w:val="none" w:sz="0" w:space="0" w:color="auto"/>
        <w:left w:val="none" w:sz="0" w:space="0" w:color="auto"/>
        <w:bottom w:val="none" w:sz="0" w:space="0" w:color="auto"/>
        <w:right w:val="none" w:sz="0" w:space="0" w:color="auto"/>
      </w:divBdr>
    </w:div>
    <w:div w:id="960578487">
      <w:bodyDiv w:val="1"/>
      <w:marLeft w:val="0"/>
      <w:marRight w:val="0"/>
      <w:marTop w:val="0"/>
      <w:marBottom w:val="0"/>
      <w:divBdr>
        <w:top w:val="none" w:sz="0" w:space="0" w:color="auto"/>
        <w:left w:val="none" w:sz="0" w:space="0" w:color="auto"/>
        <w:bottom w:val="none" w:sz="0" w:space="0" w:color="auto"/>
        <w:right w:val="none" w:sz="0" w:space="0" w:color="auto"/>
      </w:divBdr>
      <w:divsChild>
        <w:div w:id="1695619455">
          <w:marLeft w:val="0"/>
          <w:marRight w:val="547"/>
          <w:marTop w:val="0"/>
          <w:marBottom w:val="0"/>
          <w:divBdr>
            <w:top w:val="none" w:sz="0" w:space="0" w:color="auto"/>
            <w:left w:val="none" w:sz="0" w:space="0" w:color="auto"/>
            <w:bottom w:val="none" w:sz="0" w:space="0" w:color="auto"/>
            <w:right w:val="none" w:sz="0" w:space="0" w:color="auto"/>
          </w:divBdr>
        </w:div>
      </w:divsChild>
    </w:div>
    <w:div w:id="964892081">
      <w:bodyDiv w:val="1"/>
      <w:marLeft w:val="0"/>
      <w:marRight w:val="0"/>
      <w:marTop w:val="0"/>
      <w:marBottom w:val="0"/>
      <w:divBdr>
        <w:top w:val="none" w:sz="0" w:space="0" w:color="auto"/>
        <w:left w:val="none" w:sz="0" w:space="0" w:color="auto"/>
        <w:bottom w:val="none" w:sz="0" w:space="0" w:color="auto"/>
        <w:right w:val="none" w:sz="0" w:space="0" w:color="auto"/>
      </w:divBdr>
    </w:div>
    <w:div w:id="997538020">
      <w:bodyDiv w:val="1"/>
      <w:marLeft w:val="0"/>
      <w:marRight w:val="0"/>
      <w:marTop w:val="0"/>
      <w:marBottom w:val="0"/>
      <w:divBdr>
        <w:top w:val="none" w:sz="0" w:space="0" w:color="auto"/>
        <w:left w:val="none" w:sz="0" w:space="0" w:color="auto"/>
        <w:bottom w:val="none" w:sz="0" w:space="0" w:color="auto"/>
        <w:right w:val="none" w:sz="0" w:space="0" w:color="auto"/>
      </w:divBdr>
    </w:div>
    <w:div w:id="1004434997">
      <w:bodyDiv w:val="1"/>
      <w:marLeft w:val="0"/>
      <w:marRight w:val="0"/>
      <w:marTop w:val="0"/>
      <w:marBottom w:val="0"/>
      <w:divBdr>
        <w:top w:val="none" w:sz="0" w:space="0" w:color="auto"/>
        <w:left w:val="none" w:sz="0" w:space="0" w:color="auto"/>
        <w:bottom w:val="none" w:sz="0" w:space="0" w:color="auto"/>
        <w:right w:val="none" w:sz="0" w:space="0" w:color="auto"/>
      </w:divBdr>
      <w:divsChild>
        <w:div w:id="831337482">
          <w:marLeft w:val="0"/>
          <w:marRight w:val="0"/>
          <w:marTop w:val="0"/>
          <w:marBottom w:val="0"/>
          <w:divBdr>
            <w:top w:val="none" w:sz="0" w:space="0" w:color="auto"/>
            <w:left w:val="none" w:sz="0" w:space="0" w:color="auto"/>
            <w:bottom w:val="none" w:sz="0" w:space="0" w:color="auto"/>
            <w:right w:val="none" w:sz="0" w:space="0" w:color="auto"/>
          </w:divBdr>
          <w:divsChild>
            <w:div w:id="2069454986">
              <w:marLeft w:val="0"/>
              <w:marRight w:val="0"/>
              <w:marTop w:val="0"/>
              <w:marBottom w:val="0"/>
              <w:divBdr>
                <w:top w:val="none" w:sz="0" w:space="0" w:color="auto"/>
                <w:left w:val="none" w:sz="0" w:space="0" w:color="auto"/>
                <w:bottom w:val="none" w:sz="0" w:space="0" w:color="auto"/>
                <w:right w:val="none" w:sz="0" w:space="0" w:color="auto"/>
              </w:divBdr>
              <w:divsChild>
                <w:div w:id="1796563204">
                  <w:marLeft w:val="0"/>
                  <w:marRight w:val="0"/>
                  <w:marTop w:val="0"/>
                  <w:marBottom w:val="0"/>
                  <w:divBdr>
                    <w:top w:val="none" w:sz="0" w:space="0" w:color="auto"/>
                    <w:left w:val="none" w:sz="0" w:space="0" w:color="auto"/>
                    <w:bottom w:val="none" w:sz="0" w:space="0" w:color="auto"/>
                    <w:right w:val="none" w:sz="0" w:space="0" w:color="auto"/>
                  </w:divBdr>
                  <w:divsChild>
                    <w:div w:id="43760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839886">
      <w:bodyDiv w:val="1"/>
      <w:marLeft w:val="0"/>
      <w:marRight w:val="0"/>
      <w:marTop w:val="0"/>
      <w:marBottom w:val="0"/>
      <w:divBdr>
        <w:top w:val="none" w:sz="0" w:space="0" w:color="auto"/>
        <w:left w:val="none" w:sz="0" w:space="0" w:color="auto"/>
        <w:bottom w:val="none" w:sz="0" w:space="0" w:color="auto"/>
        <w:right w:val="none" w:sz="0" w:space="0" w:color="auto"/>
      </w:divBdr>
      <w:divsChild>
        <w:div w:id="686445107">
          <w:marLeft w:val="0"/>
          <w:marRight w:val="547"/>
          <w:marTop w:val="0"/>
          <w:marBottom w:val="0"/>
          <w:divBdr>
            <w:top w:val="none" w:sz="0" w:space="0" w:color="auto"/>
            <w:left w:val="none" w:sz="0" w:space="0" w:color="auto"/>
            <w:bottom w:val="none" w:sz="0" w:space="0" w:color="auto"/>
            <w:right w:val="none" w:sz="0" w:space="0" w:color="auto"/>
          </w:divBdr>
        </w:div>
        <w:div w:id="386144429">
          <w:marLeft w:val="0"/>
          <w:marRight w:val="547"/>
          <w:marTop w:val="0"/>
          <w:marBottom w:val="0"/>
          <w:divBdr>
            <w:top w:val="none" w:sz="0" w:space="0" w:color="auto"/>
            <w:left w:val="none" w:sz="0" w:space="0" w:color="auto"/>
            <w:bottom w:val="none" w:sz="0" w:space="0" w:color="auto"/>
            <w:right w:val="none" w:sz="0" w:space="0" w:color="auto"/>
          </w:divBdr>
        </w:div>
        <w:div w:id="114981464">
          <w:marLeft w:val="0"/>
          <w:marRight w:val="547"/>
          <w:marTop w:val="0"/>
          <w:marBottom w:val="0"/>
          <w:divBdr>
            <w:top w:val="none" w:sz="0" w:space="0" w:color="auto"/>
            <w:left w:val="none" w:sz="0" w:space="0" w:color="auto"/>
            <w:bottom w:val="none" w:sz="0" w:space="0" w:color="auto"/>
            <w:right w:val="none" w:sz="0" w:space="0" w:color="auto"/>
          </w:divBdr>
        </w:div>
        <w:div w:id="338771824">
          <w:marLeft w:val="0"/>
          <w:marRight w:val="1166"/>
          <w:marTop w:val="0"/>
          <w:marBottom w:val="0"/>
          <w:divBdr>
            <w:top w:val="none" w:sz="0" w:space="0" w:color="auto"/>
            <w:left w:val="none" w:sz="0" w:space="0" w:color="auto"/>
            <w:bottom w:val="none" w:sz="0" w:space="0" w:color="auto"/>
            <w:right w:val="none" w:sz="0" w:space="0" w:color="auto"/>
          </w:divBdr>
        </w:div>
        <w:div w:id="954756142">
          <w:marLeft w:val="0"/>
          <w:marRight w:val="1166"/>
          <w:marTop w:val="0"/>
          <w:marBottom w:val="0"/>
          <w:divBdr>
            <w:top w:val="none" w:sz="0" w:space="0" w:color="auto"/>
            <w:left w:val="none" w:sz="0" w:space="0" w:color="auto"/>
            <w:bottom w:val="none" w:sz="0" w:space="0" w:color="auto"/>
            <w:right w:val="none" w:sz="0" w:space="0" w:color="auto"/>
          </w:divBdr>
        </w:div>
        <w:div w:id="1008407505">
          <w:marLeft w:val="0"/>
          <w:marRight w:val="1166"/>
          <w:marTop w:val="0"/>
          <w:marBottom w:val="0"/>
          <w:divBdr>
            <w:top w:val="none" w:sz="0" w:space="0" w:color="auto"/>
            <w:left w:val="none" w:sz="0" w:space="0" w:color="auto"/>
            <w:bottom w:val="none" w:sz="0" w:space="0" w:color="auto"/>
            <w:right w:val="none" w:sz="0" w:space="0" w:color="auto"/>
          </w:divBdr>
        </w:div>
        <w:div w:id="1246108272">
          <w:marLeft w:val="0"/>
          <w:marRight w:val="1166"/>
          <w:marTop w:val="0"/>
          <w:marBottom w:val="0"/>
          <w:divBdr>
            <w:top w:val="none" w:sz="0" w:space="0" w:color="auto"/>
            <w:left w:val="none" w:sz="0" w:space="0" w:color="auto"/>
            <w:bottom w:val="none" w:sz="0" w:space="0" w:color="auto"/>
            <w:right w:val="none" w:sz="0" w:space="0" w:color="auto"/>
          </w:divBdr>
        </w:div>
        <w:div w:id="1273056668">
          <w:marLeft w:val="0"/>
          <w:marRight w:val="1166"/>
          <w:marTop w:val="0"/>
          <w:marBottom w:val="0"/>
          <w:divBdr>
            <w:top w:val="none" w:sz="0" w:space="0" w:color="auto"/>
            <w:left w:val="none" w:sz="0" w:space="0" w:color="auto"/>
            <w:bottom w:val="none" w:sz="0" w:space="0" w:color="auto"/>
            <w:right w:val="none" w:sz="0" w:space="0" w:color="auto"/>
          </w:divBdr>
        </w:div>
        <w:div w:id="182090982">
          <w:marLeft w:val="0"/>
          <w:marRight w:val="1166"/>
          <w:marTop w:val="0"/>
          <w:marBottom w:val="0"/>
          <w:divBdr>
            <w:top w:val="none" w:sz="0" w:space="0" w:color="auto"/>
            <w:left w:val="none" w:sz="0" w:space="0" w:color="auto"/>
            <w:bottom w:val="none" w:sz="0" w:space="0" w:color="auto"/>
            <w:right w:val="none" w:sz="0" w:space="0" w:color="auto"/>
          </w:divBdr>
        </w:div>
        <w:div w:id="1408189957">
          <w:marLeft w:val="0"/>
          <w:marRight w:val="1166"/>
          <w:marTop w:val="0"/>
          <w:marBottom w:val="0"/>
          <w:divBdr>
            <w:top w:val="none" w:sz="0" w:space="0" w:color="auto"/>
            <w:left w:val="none" w:sz="0" w:space="0" w:color="auto"/>
            <w:bottom w:val="none" w:sz="0" w:space="0" w:color="auto"/>
            <w:right w:val="none" w:sz="0" w:space="0" w:color="auto"/>
          </w:divBdr>
        </w:div>
      </w:divsChild>
    </w:div>
    <w:div w:id="1139034524">
      <w:bodyDiv w:val="1"/>
      <w:marLeft w:val="0"/>
      <w:marRight w:val="0"/>
      <w:marTop w:val="0"/>
      <w:marBottom w:val="0"/>
      <w:divBdr>
        <w:top w:val="none" w:sz="0" w:space="0" w:color="auto"/>
        <w:left w:val="none" w:sz="0" w:space="0" w:color="auto"/>
        <w:bottom w:val="none" w:sz="0" w:space="0" w:color="auto"/>
        <w:right w:val="none" w:sz="0" w:space="0" w:color="auto"/>
      </w:divBdr>
    </w:div>
    <w:div w:id="1158575507">
      <w:bodyDiv w:val="1"/>
      <w:marLeft w:val="0"/>
      <w:marRight w:val="0"/>
      <w:marTop w:val="0"/>
      <w:marBottom w:val="0"/>
      <w:divBdr>
        <w:top w:val="none" w:sz="0" w:space="0" w:color="auto"/>
        <w:left w:val="none" w:sz="0" w:space="0" w:color="auto"/>
        <w:bottom w:val="none" w:sz="0" w:space="0" w:color="auto"/>
        <w:right w:val="none" w:sz="0" w:space="0" w:color="auto"/>
      </w:divBdr>
      <w:divsChild>
        <w:div w:id="1262447742">
          <w:marLeft w:val="0"/>
          <w:marRight w:val="547"/>
          <w:marTop w:val="0"/>
          <w:marBottom w:val="0"/>
          <w:divBdr>
            <w:top w:val="none" w:sz="0" w:space="0" w:color="auto"/>
            <w:left w:val="none" w:sz="0" w:space="0" w:color="auto"/>
            <w:bottom w:val="none" w:sz="0" w:space="0" w:color="auto"/>
            <w:right w:val="none" w:sz="0" w:space="0" w:color="auto"/>
          </w:divBdr>
        </w:div>
      </w:divsChild>
    </w:div>
    <w:div w:id="1160584472">
      <w:bodyDiv w:val="1"/>
      <w:marLeft w:val="0"/>
      <w:marRight w:val="0"/>
      <w:marTop w:val="0"/>
      <w:marBottom w:val="0"/>
      <w:divBdr>
        <w:top w:val="none" w:sz="0" w:space="0" w:color="auto"/>
        <w:left w:val="none" w:sz="0" w:space="0" w:color="auto"/>
        <w:bottom w:val="none" w:sz="0" w:space="0" w:color="auto"/>
        <w:right w:val="none" w:sz="0" w:space="0" w:color="auto"/>
      </w:divBdr>
      <w:divsChild>
        <w:div w:id="898441365">
          <w:marLeft w:val="0"/>
          <w:marRight w:val="0"/>
          <w:marTop w:val="0"/>
          <w:marBottom w:val="0"/>
          <w:divBdr>
            <w:top w:val="none" w:sz="0" w:space="0" w:color="auto"/>
            <w:left w:val="none" w:sz="0" w:space="0" w:color="auto"/>
            <w:bottom w:val="none" w:sz="0" w:space="0" w:color="auto"/>
            <w:right w:val="none" w:sz="0" w:space="0" w:color="auto"/>
          </w:divBdr>
          <w:divsChild>
            <w:div w:id="1756588841">
              <w:marLeft w:val="-150"/>
              <w:marRight w:val="-150"/>
              <w:marTop w:val="0"/>
              <w:marBottom w:val="0"/>
              <w:divBdr>
                <w:top w:val="single" w:sz="2" w:space="0" w:color="auto"/>
                <w:left w:val="single" w:sz="2" w:space="0" w:color="auto"/>
                <w:bottom w:val="single" w:sz="2" w:space="0" w:color="auto"/>
                <w:right w:val="single" w:sz="2" w:space="0" w:color="auto"/>
              </w:divBdr>
              <w:divsChild>
                <w:div w:id="291524386">
                  <w:marLeft w:val="0"/>
                  <w:marRight w:val="0"/>
                  <w:marTop w:val="0"/>
                  <w:marBottom w:val="0"/>
                  <w:divBdr>
                    <w:top w:val="single" w:sz="2" w:space="0" w:color="auto"/>
                    <w:left w:val="single" w:sz="2" w:space="8" w:color="auto"/>
                    <w:bottom w:val="single" w:sz="2" w:space="0" w:color="auto"/>
                    <w:right w:val="single" w:sz="2" w:space="8" w:color="auto"/>
                  </w:divBdr>
                  <w:divsChild>
                    <w:div w:id="1868254494">
                      <w:marLeft w:val="0"/>
                      <w:marRight w:val="0"/>
                      <w:marTop w:val="0"/>
                      <w:marBottom w:val="0"/>
                      <w:divBdr>
                        <w:top w:val="none" w:sz="0" w:space="0" w:color="auto"/>
                        <w:left w:val="none" w:sz="0" w:space="0" w:color="auto"/>
                        <w:bottom w:val="none" w:sz="0" w:space="0" w:color="auto"/>
                        <w:right w:val="none" w:sz="0" w:space="0" w:color="auto"/>
                      </w:divBdr>
                      <w:divsChild>
                        <w:div w:id="1017343140">
                          <w:marLeft w:val="0"/>
                          <w:marRight w:val="0"/>
                          <w:marTop w:val="0"/>
                          <w:marBottom w:val="0"/>
                          <w:divBdr>
                            <w:top w:val="none" w:sz="0" w:space="0" w:color="auto"/>
                            <w:left w:val="none" w:sz="0" w:space="0" w:color="auto"/>
                            <w:bottom w:val="none" w:sz="0" w:space="0" w:color="auto"/>
                            <w:right w:val="none" w:sz="0" w:space="0" w:color="auto"/>
                          </w:divBdr>
                          <w:divsChild>
                            <w:div w:id="805897304">
                              <w:marLeft w:val="0"/>
                              <w:marRight w:val="0"/>
                              <w:marTop w:val="0"/>
                              <w:marBottom w:val="0"/>
                              <w:divBdr>
                                <w:top w:val="none" w:sz="0" w:space="0" w:color="auto"/>
                                <w:left w:val="none" w:sz="0" w:space="0" w:color="auto"/>
                                <w:bottom w:val="none" w:sz="0" w:space="0" w:color="auto"/>
                                <w:right w:val="none" w:sz="0" w:space="0" w:color="auto"/>
                              </w:divBdr>
                              <w:divsChild>
                                <w:div w:id="514006199">
                                  <w:marLeft w:val="0"/>
                                  <w:marRight w:val="0"/>
                                  <w:marTop w:val="0"/>
                                  <w:marBottom w:val="0"/>
                                  <w:divBdr>
                                    <w:top w:val="none" w:sz="0" w:space="0" w:color="auto"/>
                                    <w:left w:val="none" w:sz="0" w:space="0" w:color="auto"/>
                                    <w:bottom w:val="none" w:sz="0" w:space="0" w:color="auto"/>
                                    <w:right w:val="none" w:sz="0" w:space="0" w:color="auto"/>
                                  </w:divBdr>
                                  <w:divsChild>
                                    <w:div w:id="738863251">
                                      <w:marLeft w:val="-150"/>
                                      <w:marRight w:val="-150"/>
                                      <w:marTop w:val="0"/>
                                      <w:marBottom w:val="0"/>
                                      <w:divBdr>
                                        <w:top w:val="single" w:sz="2" w:space="0" w:color="auto"/>
                                        <w:left w:val="single" w:sz="2" w:space="0" w:color="auto"/>
                                        <w:bottom w:val="single" w:sz="2" w:space="0" w:color="auto"/>
                                        <w:right w:val="single" w:sz="2" w:space="0" w:color="auto"/>
                                      </w:divBdr>
                                      <w:divsChild>
                                        <w:div w:id="456484772">
                                          <w:marLeft w:val="0"/>
                                          <w:marRight w:val="0"/>
                                          <w:marTop w:val="0"/>
                                          <w:marBottom w:val="0"/>
                                          <w:divBdr>
                                            <w:top w:val="single" w:sz="2" w:space="0" w:color="auto"/>
                                            <w:left w:val="single" w:sz="2" w:space="8" w:color="auto"/>
                                            <w:bottom w:val="single" w:sz="2" w:space="0" w:color="auto"/>
                                            <w:right w:val="single" w:sz="2" w:space="8" w:color="auto"/>
                                          </w:divBdr>
                                          <w:divsChild>
                                            <w:div w:id="9471603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406146">
          <w:marLeft w:val="0"/>
          <w:marRight w:val="0"/>
          <w:marTop w:val="0"/>
          <w:marBottom w:val="0"/>
          <w:divBdr>
            <w:top w:val="none" w:sz="0" w:space="0" w:color="auto"/>
            <w:left w:val="none" w:sz="0" w:space="0" w:color="auto"/>
            <w:bottom w:val="none" w:sz="0" w:space="0" w:color="auto"/>
            <w:right w:val="none" w:sz="0" w:space="0" w:color="auto"/>
          </w:divBdr>
          <w:divsChild>
            <w:div w:id="22168725">
              <w:marLeft w:val="-150"/>
              <w:marRight w:val="-150"/>
              <w:marTop w:val="0"/>
              <w:marBottom w:val="0"/>
              <w:divBdr>
                <w:top w:val="single" w:sz="2" w:space="0" w:color="auto"/>
                <w:left w:val="single" w:sz="2" w:space="0" w:color="auto"/>
                <w:bottom w:val="single" w:sz="2" w:space="0" w:color="auto"/>
                <w:right w:val="single" w:sz="2" w:space="0" w:color="auto"/>
              </w:divBdr>
              <w:divsChild>
                <w:div w:id="1447190108">
                  <w:marLeft w:val="0"/>
                  <w:marRight w:val="0"/>
                  <w:marTop w:val="0"/>
                  <w:marBottom w:val="0"/>
                  <w:divBdr>
                    <w:top w:val="single" w:sz="2" w:space="0" w:color="auto"/>
                    <w:left w:val="single" w:sz="2" w:space="8" w:color="auto"/>
                    <w:bottom w:val="single" w:sz="2" w:space="0" w:color="auto"/>
                    <w:right w:val="single" w:sz="2" w:space="8" w:color="auto"/>
                  </w:divBdr>
                  <w:divsChild>
                    <w:div w:id="115147234">
                      <w:marLeft w:val="0"/>
                      <w:marRight w:val="0"/>
                      <w:marTop w:val="0"/>
                      <w:marBottom w:val="0"/>
                      <w:divBdr>
                        <w:top w:val="none" w:sz="0" w:space="0" w:color="auto"/>
                        <w:left w:val="none" w:sz="0" w:space="0" w:color="auto"/>
                        <w:bottom w:val="none" w:sz="0" w:space="0" w:color="auto"/>
                        <w:right w:val="single" w:sz="6" w:space="0" w:color="DEDEDE"/>
                      </w:divBdr>
                      <w:divsChild>
                        <w:div w:id="1882277806">
                          <w:marLeft w:val="0"/>
                          <w:marRight w:val="0"/>
                          <w:marTop w:val="0"/>
                          <w:marBottom w:val="0"/>
                          <w:divBdr>
                            <w:top w:val="none" w:sz="0" w:space="0" w:color="auto"/>
                            <w:left w:val="none" w:sz="0" w:space="0" w:color="auto"/>
                            <w:bottom w:val="none" w:sz="0" w:space="0" w:color="auto"/>
                            <w:right w:val="none" w:sz="0" w:space="0" w:color="auto"/>
                          </w:divBdr>
                          <w:divsChild>
                            <w:div w:id="1547134816">
                              <w:marLeft w:val="0"/>
                              <w:marRight w:val="0"/>
                              <w:marTop w:val="0"/>
                              <w:marBottom w:val="0"/>
                              <w:divBdr>
                                <w:top w:val="none" w:sz="0" w:space="0" w:color="auto"/>
                                <w:left w:val="none" w:sz="0" w:space="0" w:color="auto"/>
                                <w:bottom w:val="none" w:sz="0" w:space="0" w:color="auto"/>
                                <w:right w:val="none" w:sz="0" w:space="0" w:color="auto"/>
                              </w:divBdr>
                              <w:divsChild>
                                <w:div w:id="297223001">
                                  <w:marLeft w:val="0"/>
                                  <w:marRight w:val="0"/>
                                  <w:marTop w:val="0"/>
                                  <w:marBottom w:val="0"/>
                                  <w:divBdr>
                                    <w:top w:val="none" w:sz="0" w:space="0" w:color="auto"/>
                                    <w:left w:val="none" w:sz="0" w:space="0" w:color="auto"/>
                                    <w:bottom w:val="none" w:sz="0" w:space="0" w:color="auto"/>
                                    <w:right w:val="none" w:sz="0" w:space="0" w:color="auto"/>
                                  </w:divBdr>
                                  <w:divsChild>
                                    <w:div w:id="397555533">
                                      <w:marLeft w:val="-150"/>
                                      <w:marRight w:val="-150"/>
                                      <w:marTop w:val="0"/>
                                      <w:marBottom w:val="0"/>
                                      <w:divBdr>
                                        <w:top w:val="single" w:sz="2" w:space="0" w:color="auto"/>
                                        <w:left w:val="single" w:sz="2" w:space="0" w:color="auto"/>
                                        <w:bottom w:val="single" w:sz="2" w:space="0" w:color="auto"/>
                                        <w:right w:val="single" w:sz="2" w:space="0" w:color="auto"/>
                                      </w:divBdr>
                                      <w:divsChild>
                                        <w:div w:id="2087605985">
                                          <w:marLeft w:val="0"/>
                                          <w:marRight w:val="0"/>
                                          <w:marTop w:val="0"/>
                                          <w:marBottom w:val="0"/>
                                          <w:divBdr>
                                            <w:top w:val="single" w:sz="2" w:space="0" w:color="auto"/>
                                            <w:left w:val="single" w:sz="2" w:space="8" w:color="auto"/>
                                            <w:bottom w:val="single" w:sz="2" w:space="0" w:color="auto"/>
                                            <w:right w:val="single" w:sz="2" w:space="8" w:color="auto"/>
                                          </w:divBdr>
                                          <w:divsChild>
                                            <w:div w:id="981421465">
                                              <w:marLeft w:val="0"/>
                                              <w:marRight w:val="0"/>
                                              <w:marTop w:val="0"/>
                                              <w:marBottom w:val="0"/>
                                              <w:divBdr>
                                                <w:top w:val="none" w:sz="0" w:space="0" w:color="auto"/>
                                                <w:left w:val="none" w:sz="0" w:space="0" w:color="auto"/>
                                                <w:bottom w:val="none" w:sz="0" w:space="0" w:color="auto"/>
                                                <w:right w:val="none" w:sz="0" w:space="0" w:color="auto"/>
                                              </w:divBdr>
                                              <w:divsChild>
                                                <w:div w:id="852958145">
                                                  <w:marLeft w:val="0"/>
                                                  <w:marRight w:val="0"/>
                                                  <w:marTop w:val="0"/>
                                                  <w:marBottom w:val="0"/>
                                                  <w:divBdr>
                                                    <w:top w:val="none" w:sz="0" w:space="0" w:color="auto"/>
                                                    <w:left w:val="none" w:sz="0" w:space="0" w:color="auto"/>
                                                    <w:bottom w:val="none" w:sz="0" w:space="0" w:color="auto"/>
                                                    <w:right w:val="none" w:sz="0" w:space="0" w:color="auto"/>
                                                  </w:divBdr>
                                                  <w:divsChild>
                                                    <w:div w:id="760569597">
                                                      <w:marLeft w:val="0"/>
                                                      <w:marRight w:val="0"/>
                                                      <w:marTop w:val="0"/>
                                                      <w:marBottom w:val="0"/>
                                                      <w:divBdr>
                                                        <w:top w:val="none" w:sz="0" w:space="0" w:color="auto"/>
                                                        <w:left w:val="none" w:sz="0" w:space="0" w:color="auto"/>
                                                        <w:bottom w:val="none" w:sz="0" w:space="0" w:color="auto"/>
                                                        <w:right w:val="none" w:sz="0" w:space="0" w:color="auto"/>
                                                      </w:divBdr>
                                                      <w:divsChild>
                                                        <w:div w:id="407506135">
                                                          <w:marLeft w:val="0"/>
                                                          <w:marRight w:val="0"/>
                                                          <w:marTop w:val="0"/>
                                                          <w:marBottom w:val="0"/>
                                                          <w:divBdr>
                                                            <w:top w:val="none" w:sz="0" w:space="0" w:color="auto"/>
                                                            <w:left w:val="none" w:sz="0" w:space="0" w:color="auto"/>
                                                            <w:bottom w:val="none" w:sz="0" w:space="0" w:color="auto"/>
                                                            <w:right w:val="none" w:sz="0" w:space="0" w:color="auto"/>
                                                          </w:divBdr>
                                                          <w:divsChild>
                                                            <w:div w:id="1406412543">
                                                              <w:marLeft w:val="0"/>
                                                              <w:marRight w:val="0"/>
                                                              <w:marTop w:val="0"/>
                                                              <w:marBottom w:val="0"/>
                                                              <w:divBdr>
                                                                <w:top w:val="none" w:sz="0" w:space="0" w:color="auto"/>
                                                                <w:left w:val="none" w:sz="0" w:space="0" w:color="auto"/>
                                                                <w:bottom w:val="none" w:sz="0" w:space="0" w:color="auto"/>
                                                                <w:right w:val="none" w:sz="0" w:space="0" w:color="auto"/>
                                                              </w:divBdr>
                                                              <w:divsChild>
                                                                <w:div w:id="540438438">
                                                                  <w:marLeft w:val="0"/>
                                                                  <w:marRight w:val="0"/>
                                                                  <w:marTop w:val="0"/>
                                                                  <w:marBottom w:val="300"/>
                                                                  <w:divBdr>
                                                                    <w:top w:val="none" w:sz="0" w:space="0" w:color="auto"/>
                                                                    <w:left w:val="none" w:sz="0" w:space="0" w:color="auto"/>
                                                                    <w:bottom w:val="none" w:sz="0" w:space="0" w:color="auto"/>
                                                                    <w:right w:val="none" w:sz="0" w:space="0" w:color="auto"/>
                                                                  </w:divBdr>
                                                                  <w:divsChild>
                                                                    <w:div w:id="784815551">
                                                                      <w:marLeft w:val="0"/>
                                                                      <w:marRight w:val="0"/>
                                                                      <w:marTop w:val="0"/>
                                                                      <w:marBottom w:val="0"/>
                                                                      <w:divBdr>
                                                                        <w:top w:val="none" w:sz="0" w:space="0" w:color="auto"/>
                                                                        <w:left w:val="none" w:sz="0" w:space="0" w:color="auto"/>
                                                                        <w:bottom w:val="none" w:sz="0" w:space="0" w:color="auto"/>
                                                                        <w:right w:val="none" w:sz="0" w:space="0" w:color="auto"/>
                                                                      </w:divBdr>
                                                                      <w:divsChild>
                                                                        <w:div w:id="1613631368">
                                                                          <w:marLeft w:val="0"/>
                                                                          <w:marRight w:val="0"/>
                                                                          <w:marTop w:val="0"/>
                                                                          <w:marBottom w:val="0"/>
                                                                          <w:divBdr>
                                                                            <w:top w:val="none" w:sz="0" w:space="0" w:color="auto"/>
                                                                            <w:left w:val="none" w:sz="0" w:space="0" w:color="auto"/>
                                                                            <w:bottom w:val="none" w:sz="0" w:space="0" w:color="auto"/>
                                                                            <w:right w:val="none" w:sz="0" w:space="0" w:color="auto"/>
                                                                          </w:divBdr>
                                                                        </w:div>
                                                                        <w:div w:id="163363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82550808">
      <w:bodyDiv w:val="1"/>
      <w:marLeft w:val="0"/>
      <w:marRight w:val="0"/>
      <w:marTop w:val="0"/>
      <w:marBottom w:val="0"/>
      <w:divBdr>
        <w:top w:val="none" w:sz="0" w:space="0" w:color="auto"/>
        <w:left w:val="none" w:sz="0" w:space="0" w:color="auto"/>
        <w:bottom w:val="none" w:sz="0" w:space="0" w:color="auto"/>
        <w:right w:val="none" w:sz="0" w:space="0" w:color="auto"/>
      </w:divBdr>
    </w:div>
    <w:div w:id="1201013462">
      <w:bodyDiv w:val="1"/>
      <w:marLeft w:val="0"/>
      <w:marRight w:val="0"/>
      <w:marTop w:val="0"/>
      <w:marBottom w:val="0"/>
      <w:divBdr>
        <w:top w:val="none" w:sz="0" w:space="0" w:color="auto"/>
        <w:left w:val="none" w:sz="0" w:space="0" w:color="auto"/>
        <w:bottom w:val="none" w:sz="0" w:space="0" w:color="auto"/>
        <w:right w:val="none" w:sz="0" w:space="0" w:color="auto"/>
      </w:divBdr>
    </w:div>
    <w:div w:id="1237975347">
      <w:bodyDiv w:val="1"/>
      <w:marLeft w:val="0"/>
      <w:marRight w:val="0"/>
      <w:marTop w:val="0"/>
      <w:marBottom w:val="0"/>
      <w:divBdr>
        <w:top w:val="none" w:sz="0" w:space="0" w:color="auto"/>
        <w:left w:val="none" w:sz="0" w:space="0" w:color="auto"/>
        <w:bottom w:val="none" w:sz="0" w:space="0" w:color="auto"/>
        <w:right w:val="none" w:sz="0" w:space="0" w:color="auto"/>
      </w:divBdr>
    </w:div>
    <w:div w:id="1248266980">
      <w:bodyDiv w:val="1"/>
      <w:marLeft w:val="0"/>
      <w:marRight w:val="0"/>
      <w:marTop w:val="0"/>
      <w:marBottom w:val="0"/>
      <w:divBdr>
        <w:top w:val="none" w:sz="0" w:space="0" w:color="auto"/>
        <w:left w:val="none" w:sz="0" w:space="0" w:color="auto"/>
        <w:bottom w:val="none" w:sz="0" w:space="0" w:color="auto"/>
        <w:right w:val="none" w:sz="0" w:space="0" w:color="auto"/>
      </w:divBdr>
    </w:div>
    <w:div w:id="1294480714">
      <w:bodyDiv w:val="1"/>
      <w:marLeft w:val="0"/>
      <w:marRight w:val="0"/>
      <w:marTop w:val="0"/>
      <w:marBottom w:val="0"/>
      <w:divBdr>
        <w:top w:val="none" w:sz="0" w:space="0" w:color="auto"/>
        <w:left w:val="none" w:sz="0" w:space="0" w:color="auto"/>
        <w:bottom w:val="none" w:sz="0" w:space="0" w:color="auto"/>
        <w:right w:val="none" w:sz="0" w:space="0" w:color="auto"/>
      </w:divBdr>
      <w:divsChild>
        <w:div w:id="252595624">
          <w:marLeft w:val="0"/>
          <w:marRight w:val="547"/>
          <w:marTop w:val="0"/>
          <w:marBottom w:val="0"/>
          <w:divBdr>
            <w:top w:val="none" w:sz="0" w:space="0" w:color="auto"/>
            <w:left w:val="none" w:sz="0" w:space="0" w:color="auto"/>
            <w:bottom w:val="none" w:sz="0" w:space="0" w:color="auto"/>
            <w:right w:val="none" w:sz="0" w:space="0" w:color="auto"/>
          </w:divBdr>
        </w:div>
      </w:divsChild>
    </w:div>
    <w:div w:id="1308053587">
      <w:bodyDiv w:val="1"/>
      <w:marLeft w:val="0"/>
      <w:marRight w:val="0"/>
      <w:marTop w:val="0"/>
      <w:marBottom w:val="0"/>
      <w:divBdr>
        <w:top w:val="none" w:sz="0" w:space="0" w:color="auto"/>
        <w:left w:val="none" w:sz="0" w:space="0" w:color="auto"/>
        <w:bottom w:val="none" w:sz="0" w:space="0" w:color="auto"/>
        <w:right w:val="none" w:sz="0" w:space="0" w:color="auto"/>
      </w:divBdr>
    </w:div>
    <w:div w:id="1311136284">
      <w:bodyDiv w:val="1"/>
      <w:marLeft w:val="0"/>
      <w:marRight w:val="0"/>
      <w:marTop w:val="0"/>
      <w:marBottom w:val="0"/>
      <w:divBdr>
        <w:top w:val="none" w:sz="0" w:space="0" w:color="auto"/>
        <w:left w:val="none" w:sz="0" w:space="0" w:color="auto"/>
        <w:bottom w:val="none" w:sz="0" w:space="0" w:color="auto"/>
        <w:right w:val="none" w:sz="0" w:space="0" w:color="auto"/>
      </w:divBdr>
    </w:div>
    <w:div w:id="1312059333">
      <w:bodyDiv w:val="1"/>
      <w:marLeft w:val="0"/>
      <w:marRight w:val="0"/>
      <w:marTop w:val="0"/>
      <w:marBottom w:val="0"/>
      <w:divBdr>
        <w:top w:val="none" w:sz="0" w:space="0" w:color="auto"/>
        <w:left w:val="none" w:sz="0" w:space="0" w:color="auto"/>
        <w:bottom w:val="none" w:sz="0" w:space="0" w:color="auto"/>
        <w:right w:val="none" w:sz="0" w:space="0" w:color="auto"/>
      </w:divBdr>
    </w:div>
    <w:div w:id="1315571947">
      <w:bodyDiv w:val="1"/>
      <w:marLeft w:val="0"/>
      <w:marRight w:val="0"/>
      <w:marTop w:val="0"/>
      <w:marBottom w:val="0"/>
      <w:divBdr>
        <w:top w:val="none" w:sz="0" w:space="0" w:color="auto"/>
        <w:left w:val="none" w:sz="0" w:space="0" w:color="auto"/>
        <w:bottom w:val="none" w:sz="0" w:space="0" w:color="auto"/>
        <w:right w:val="none" w:sz="0" w:space="0" w:color="auto"/>
      </w:divBdr>
    </w:div>
    <w:div w:id="1375501649">
      <w:bodyDiv w:val="1"/>
      <w:marLeft w:val="0"/>
      <w:marRight w:val="0"/>
      <w:marTop w:val="0"/>
      <w:marBottom w:val="0"/>
      <w:divBdr>
        <w:top w:val="none" w:sz="0" w:space="0" w:color="auto"/>
        <w:left w:val="none" w:sz="0" w:space="0" w:color="auto"/>
        <w:bottom w:val="none" w:sz="0" w:space="0" w:color="auto"/>
        <w:right w:val="none" w:sz="0" w:space="0" w:color="auto"/>
      </w:divBdr>
    </w:div>
    <w:div w:id="1435396854">
      <w:bodyDiv w:val="1"/>
      <w:marLeft w:val="0"/>
      <w:marRight w:val="0"/>
      <w:marTop w:val="0"/>
      <w:marBottom w:val="0"/>
      <w:divBdr>
        <w:top w:val="none" w:sz="0" w:space="0" w:color="auto"/>
        <w:left w:val="none" w:sz="0" w:space="0" w:color="auto"/>
        <w:bottom w:val="none" w:sz="0" w:space="0" w:color="auto"/>
        <w:right w:val="none" w:sz="0" w:space="0" w:color="auto"/>
      </w:divBdr>
    </w:div>
    <w:div w:id="1469470644">
      <w:bodyDiv w:val="1"/>
      <w:marLeft w:val="0"/>
      <w:marRight w:val="0"/>
      <w:marTop w:val="0"/>
      <w:marBottom w:val="0"/>
      <w:divBdr>
        <w:top w:val="none" w:sz="0" w:space="0" w:color="auto"/>
        <w:left w:val="none" w:sz="0" w:space="0" w:color="auto"/>
        <w:bottom w:val="none" w:sz="0" w:space="0" w:color="auto"/>
        <w:right w:val="none" w:sz="0" w:space="0" w:color="auto"/>
      </w:divBdr>
    </w:div>
    <w:div w:id="1526364771">
      <w:bodyDiv w:val="1"/>
      <w:marLeft w:val="0"/>
      <w:marRight w:val="0"/>
      <w:marTop w:val="0"/>
      <w:marBottom w:val="0"/>
      <w:divBdr>
        <w:top w:val="none" w:sz="0" w:space="0" w:color="auto"/>
        <w:left w:val="none" w:sz="0" w:space="0" w:color="auto"/>
        <w:bottom w:val="none" w:sz="0" w:space="0" w:color="auto"/>
        <w:right w:val="none" w:sz="0" w:space="0" w:color="auto"/>
      </w:divBdr>
    </w:div>
    <w:div w:id="1534345926">
      <w:bodyDiv w:val="1"/>
      <w:marLeft w:val="0"/>
      <w:marRight w:val="0"/>
      <w:marTop w:val="0"/>
      <w:marBottom w:val="0"/>
      <w:divBdr>
        <w:top w:val="none" w:sz="0" w:space="0" w:color="auto"/>
        <w:left w:val="none" w:sz="0" w:space="0" w:color="auto"/>
        <w:bottom w:val="none" w:sz="0" w:space="0" w:color="auto"/>
        <w:right w:val="none" w:sz="0" w:space="0" w:color="auto"/>
      </w:divBdr>
    </w:div>
    <w:div w:id="1543442234">
      <w:bodyDiv w:val="1"/>
      <w:marLeft w:val="0"/>
      <w:marRight w:val="0"/>
      <w:marTop w:val="0"/>
      <w:marBottom w:val="0"/>
      <w:divBdr>
        <w:top w:val="none" w:sz="0" w:space="0" w:color="auto"/>
        <w:left w:val="none" w:sz="0" w:space="0" w:color="auto"/>
        <w:bottom w:val="none" w:sz="0" w:space="0" w:color="auto"/>
        <w:right w:val="none" w:sz="0" w:space="0" w:color="auto"/>
      </w:divBdr>
    </w:div>
    <w:div w:id="1609385956">
      <w:bodyDiv w:val="1"/>
      <w:marLeft w:val="0"/>
      <w:marRight w:val="0"/>
      <w:marTop w:val="0"/>
      <w:marBottom w:val="0"/>
      <w:divBdr>
        <w:top w:val="none" w:sz="0" w:space="0" w:color="auto"/>
        <w:left w:val="none" w:sz="0" w:space="0" w:color="auto"/>
        <w:bottom w:val="none" w:sz="0" w:space="0" w:color="auto"/>
        <w:right w:val="none" w:sz="0" w:space="0" w:color="auto"/>
      </w:divBdr>
    </w:div>
    <w:div w:id="1611665142">
      <w:bodyDiv w:val="1"/>
      <w:marLeft w:val="0"/>
      <w:marRight w:val="0"/>
      <w:marTop w:val="0"/>
      <w:marBottom w:val="0"/>
      <w:divBdr>
        <w:top w:val="none" w:sz="0" w:space="0" w:color="auto"/>
        <w:left w:val="none" w:sz="0" w:space="0" w:color="auto"/>
        <w:bottom w:val="none" w:sz="0" w:space="0" w:color="auto"/>
        <w:right w:val="none" w:sz="0" w:space="0" w:color="auto"/>
      </w:divBdr>
    </w:div>
    <w:div w:id="1618635672">
      <w:bodyDiv w:val="1"/>
      <w:marLeft w:val="0"/>
      <w:marRight w:val="0"/>
      <w:marTop w:val="0"/>
      <w:marBottom w:val="0"/>
      <w:divBdr>
        <w:top w:val="none" w:sz="0" w:space="0" w:color="auto"/>
        <w:left w:val="none" w:sz="0" w:space="0" w:color="auto"/>
        <w:bottom w:val="none" w:sz="0" w:space="0" w:color="auto"/>
        <w:right w:val="none" w:sz="0" w:space="0" w:color="auto"/>
      </w:divBdr>
    </w:div>
    <w:div w:id="1623657741">
      <w:bodyDiv w:val="1"/>
      <w:marLeft w:val="0"/>
      <w:marRight w:val="0"/>
      <w:marTop w:val="0"/>
      <w:marBottom w:val="0"/>
      <w:divBdr>
        <w:top w:val="none" w:sz="0" w:space="0" w:color="auto"/>
        <w:left w:val="none" w:sz="0" w:space="0" w:color="auto"/>
        <w:bottom w:val="none" w:sz="0" w:space="0" w:color="auto"/>
        <w:right w:val="none" w:sz="0" w:space="0" w:color="auto"/>
      </w:divBdr>
    </w:div>
    <w:div w:id="1636911763">
      <w:bodyDiv w:val="1"/>
      <w:marLeft w:val="0"/>
      <w:marRight w:val="0"/>
      <w:marTop w:val="0"/>
      <w:marBottom w:val="0"/>
      <w:divBdr>
        <w:top w:val="none" w:sz="0" w:space="0" w:color="auto"/>
        <w:left w:val="none" w:sz="0" w:space="0" w:color="auto"/>
        <w:bottom w:val="none" w:sz="0" w:space="0" w:color="auto"/>
        <w:right w:val="none" w:sz="0" w:space="0" w:color="auto"/>
      </w:divBdr>
    </w:div>
    <w:div w:id="1640769390">
      <w:bodyDiv w:val="1"/>
      <w:marLeft w:val="0"/>
      <w:marRight w:val="0"/>
      <w:marTop w:val="0"/>
      <w:marBottom w:val="0"/>
      <w:divBdr>
        <w:top w:val="none" w:sz="0" w:space="0" w:color="auto"/>
        <w:left w:val="none" w:sz="0" w:space="0" w:color="auto"/>
        <w:bottom w:val="none" w:sz="0" w:space="0" w:color="auto"/>
        <w:right w:val="none" w:sz="0" w:space="0" w:color="auto"/>
      </w:divBdr>
    </w:div>
    <w:div w:id="1657689249">
      <w:bodyDiv w:val="1"/>
      <w:marLeft w:val="0"/>
      <w:marRight w:val="0"/>
      <w:marTop w:val="0"/>
      <w:marBottom w:val="0"/>
      <w:divBdr>
        <w:top w:val="none" w:sz="0" w:space="0" w:color="auto"/>
        <w:left w:val="none" w:sz="0" w:space="0" w:color="auto"/>
        <w:bottom w:val="none" w:sz="0" w:space="0" w:color="auto"/>
        <w:right w:val="none" w:sz="0" w:space="0" w:color="auto"/>
      </w:divBdr>
    </w:div>
    <w:div w:id="1698577893">
      <w:bodyDiv w:val="1"/>
      <w:marLeft w:val="0"/>
      <w:marRight w:val="0"/>
      <w:marTop w:val="0"/>
      <w:marBottom w:val="0"/>
      <w:divBdr>
        <w:top w:val="none" w:sz="0" w:space="0" w:color="auto"/>
        <w:left w:val="none" w:sz="0" w:space="0" w:color="auto"/>
        <w:bottom w:val="none" w:sz="0" w:space="0" w:color="auto"/>
        <w:right w:val="none" w:sz="0" w:space="0" w:color="auto"/>
      </w:divBdr>
    </w:div>
    <w:div w:id="1708532342">
      <w:bodyDiv w:val="1"/>
      <w:marLeft w:val="0"/>
      <w:marRight w:val="0"/>
      <w:marTop w:val="0"/>
      <w:marBottom w:val="0"/>
      <w:divBdr>
        <w:top w:val="none" w:sz="0" w:space="0" w:color="auto"/>
        <w:left w:val="none" w:sz="0" w:space="0" w:color="auto"/>
        <w:bottom w:val="none" w:sz="0" w:space="0" w:color="auto"/>
        <w:right w:val="none" w:sz="0" w:space="0" w:color="auto"/>
      </w:divBdr>
    </w:div>
    <w:div w:id="1720202571">
      <w:bodyDiv w:val="1"/>
      <w:marLeft w:val="0"/>
      <w:marRight w:val="0"/>
      <w:marTop w:val="0"/>
      <w:marBottom w:val="0"/>
      <w:divBdr>
        <w:top w:val="none" w:sz="0" w:space="0" w:color="auto"/>
        <w:left w:val="none" w:sz="0" w:space="0" w:color="auto"/>
        <w:bottom w:val="none" w:sz="0" w:space="0" w:color="auto"/>
        <w:right w:val="none" w:sz="0" w:space="0" w:color="auto"/>
      </w:divBdr>
    </w:div>
    <w:div w:id="1771582296">
      <w:bodyDiv w:val="1"/>
      <w:marLeft w:val="0"/>
      <w:marRight w:val="0"/>
      <w:marTop w:val="0"/>
      <w:marBottom w:val="0"/>
      <w:divBdr>
        <w:top w:val="none" w:sz="0" w:space="0" w:color="auto"/>
        <w:left w:val="none" w:sz="0" w:space="0" w:color="auto"/>
        <w:bottom w:val="none" w:sz="0" w:space="0" w:color="auto"/>
        <w:right w:val="none" w:sz="0" w:space="0" w:color="auto"/>
      </w:divBdr>
    </w:div>
    <w:div w:id="1777167636">
      <w:bodyDiv w:val="1"/>
      <w:marLeft w:val="0"/>
      <w:marRight w:val="0"/>
      <w:marTop w:val="0"/>
      <w:marBottom w:val="0"/>
      <w:divBdr>
        <w:top w:val="none" w:sz="0" w:space="0" w:color="auto"/>
        <w:left w:val="none" w:sz="0" w:space="0" w:color="auto"/>
        <w:bottom w:val="none" w:sz="0" w:space="0" w:color="auto"/>
        <w:right w:val="none" w:sz="0" w:space="0" w:color="auto"/>
      </w:divBdr>
    </w:div>
    <w:div w:id="1835535060">
      <w:bodyDiv w:val="1"/>
      <w:marLeft w:val="0"/>
      <w:marRight w:val="0"/>
      <w:marTop w:val="0"/>
      <w:marBottom w:val="0"/>
      <w:divBdr>
        <w:top w:val="none" w:sz="0" w:space="0" w:color="auto"/>
        <w:left w:val="none" w:sz="0" w:space="0" w:color="auto"/>
        <w:bottom w:val="none" w:sz="0" w:space="0" w:color="auto"/>
        <w:right w:val="none" w:sz="0" w:space="0" w:color="auto"/>
      </w:divBdr>
      <w:divsChild>
        <w:div w:id="402948011">
          <w:marLeft w:val="0"/>
          <w:marRight w:val="547"/>
          <w:marTop w:val="0"/>
          <w:marBottom w:val="0"/>
          <w:divBdr>
            <w:top w:val="none" w:sz="0" w:space="0" w:color="auto"/>
            <w:left w:val="none" w:sz="0" w:space="0" w:color="auto"/>
            <w:bottom w:val="none" w:sz="0" w:space="0" w:color="auto"/>
            <w:right w:val="none" w:sz="0" w:space="0" w:color="auto"/>
          </w:divBdr>
        </w:div>
      </w:divsChild>
    </w:div>
    <w:div w:id="1882398772">
      <w:bodyDiv w:val="1"/>
      <w:marLeft w:val="0"/>
      <w:marRight w:val="0"/>
      <w:marTop w:val="0"/>
      <w:marBottom w:val="0"/>
      <w:divBdr>
        <w:top w:val="none" w:sz="0" w:space="0" w:color="auto"/>
        <w:left w:val="none" w:sz="0" w:space="0" w:color="auto"/>
        <w:bottom w:val="none" w:sz="0" w:space="0" w:color="auto"/>
        <w:right w:val="none" w:sz="0" w:space="0" w:color="auto"/>
      </w:divBdr>
    </w:div>
    <w:div w:id="1903053046">
      <w:bodyDiv w:val="1"/>
      <w:marLeft w:val="0"/>
      <w:marRight w:val="0"/>
      <w:marTop w:val="0"/>
      <w:marBottom w:val="0"/>
      <w:divBdr>
        <w:top w:val="none" w:sz="0" w:space="0" w:color="auto"/>
        <w:left w:val="none" w:sz="0" w:space="0" w:color="auto"/>
        <w:bottom w:val="none" w:sz="0" w:space="0" w:color="auto"/>
        <w:right w:val="none" w:sz="0" w:space="0" w:color="auto"/>
      </w:divBdr>
    </w:div>
    <w:div w:id="1936284212">
      <w:bodyDiv w:val="1"/>
      <w:marLeft w:val="0"/>
      <w:marRight w:val="0"/>
      <w:marTop w:val="0"/>
      <w:marBottom w:val="0"/>
      <w:divBdr>
        <w:top w:val="none" w:sz="0" w:space="0" w:color="auto"/>
        <w:left w:val="none" w:sz="0" w:space="0" w:color="auto"/>
        <w:bottom w:val="none" w:sz="0" w:space="0" w:color="auto"/>
        <w:right w:val="none" w:sz="0" w:space="0" w:color="auto"/>
      </w:divBdr>
    </w:div>
    <w:div w:id="1960725147">
      <w:bodyDiv w:val="1"/>
      <w:marLeft w:val="0"/>
      <w:marRight w:val="0"/>
      <w:marTop w:val="0"/>
      <w:marBottom w:val="0"/>
      <w:divBdr>
        <w:top w:val="none" w:sz="0" w:space="0" w:color="auto"/>
        <w:left w:val="none" w:sz="0" w:space="0" w:color="auto"/>
        <w:bottom w:val="none" w:sz="0" w:space="0" w:color="auto"/>
        <w:right w:val="none" w:sz="0" w:space="0" w:color="auto"/>
      </w:divBdr>
    </w:div>
    <w:div w:id="1976332799">
      <w:bodyDiv w:val="1"/>
      <w:marLeft w:val="0"/>
      <w:marRight w:val="0"/>
      <w:marTop w:val="0"/>
      <w:marBottom w:val="0"/>
      <w:divBdr>
        <w:top w:val="none" w:sz="0" w:space="0" w:color="auto"/>
        <w:left w:val="none" w:sz="0" w:space="0" w:color="auto"/>
        <w:bottom w:val="none" w:sz="0" w:space="0" w:color="auto"/>
        <w:right w:val="none" w:sz="0" w:space="0" w:color="auto"/>
      </w:divBdr>
    </w:div>
    <w:div w:id="2002079798">
      <w:bodyDiv w:val="1"/>
      <w:marLeft w:val="0"/>
      <w:marRight w:val="0"/>
      <w:marTop w:val="0"/>
      <w:marBottom w:val="0"/>
      <w:divBdr>
        <w:top w:val="none" w:sz="0" w:space="0" w:color="auto"/>
        <w:left w:val="none" w:sz="0" w:space="0" w:color="auto"/>
        <w:bottom w:val="none" w:sz="0" w:space="0" w:color="auto"/>
        <w:right w:val="none" w:sz="0" w:space="0" w:color="auto"/>
      </w:divBdr>
      <w:divsChild>
        <w:div w:id="1383863004">
          <w:marLeft w:val="0"/>
          <w:marRight w:val="0"/>
          <w:marTop w:val="0"/>
          <w:marBottom w:val="0"/>
          <w:divBdr>
            <w:top w:val="none" w:sz="0" w:space="0" w:color="auto"/>
            <w:left w:val="none" w:sz="0" w:space="0" w:color="auto"/>
            <w:bottom w:val="none" w:sz="0" w:space="0" w:color="auto"/>
            <w:right w:val="none" w:sz="0" w:space="0" w:color="auto"/>
          </w:divBdr>
          <w:divsChild>
            <w:div w:id="247622896">
              <w:marLeft w:val="0"/>
              <w:marRight w:val="0"/>
              <w:marTop w:val="0"/>
              <w:marBottom w:val="0"/>
              <w:divBdr>
                <w:top w:val="none" w:sz="0" w:space="0" w:color="auto"/>
                <w:left w:val="none" w:sz="0" w:space="0" w:color="auto"/>
                <w:bottom w:val="none" w:sz="0" w:space="0" w:color="auto"/>
                <w:right w:val="none" w:sz="0" w:space="0" w:color="auto"/>
              </w:divBdr>
              <w:divsChild>
                <w:div w:id="2145417688">
                  <w:marLeft w:val="0"/>
                  <w:marRight w:val="0"/>
                  <w:marTop w:val="0"/>
                  <w:marBottom w:val="0"/>
                  <w:divBdr>
                    <w:top w:val="none" w:sz="0" w:space="0" w:color="auto"/>
                    <w:left w:val="none" w:sz="0" w:space="0" w:color="auto"/>
                    <w:bottom w:val="none" w:sz="0" w:space="0" w:color="auto"/>
                    <w:right w:val="none" w:sz="0" w:space="0" w:color="auto"/>
                  </w:divBdr>
                  <w:divsChild>
                    <w:div w:id="175820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450224">
      <w:bodyDiv w:val="1"/>
      <w:marLeft w:val="0"/>
      <w:marRight w:val="0"/>
      <w:marTop w:val="0"/>
      <w:marBottom w:val="0"/>
      <w:divBdr>
        <w:top w:val="none" w:sz="0" w:space="0" w:color="auto"/>
        <w:left w:val="none" w:sz="0" w:space="0" w:color="auto"/>
        <w:bottom w:val="none" w:sz="0" w:space="0" w:color="auto"/>
        <w:right w:val="none" w:sz="0" w:space="0" w:color="auto"/>
      </w:divBdr>
    </w:div>
    <w:div w:id="2042508403">
      <w:bodyDiv w:val="1"/>
      <w:marLeft w:val="0"/>
      <w:marRight w:val="0"/>
      <w:marTop w:val="0"/>
      <w:marBottom w:val="0"/>
      <w:divBdr>
        <w:top w:val="none" w:sz="0" w:space="0" w:color="auto"/>
        <w:left w:val="none" w:sz="0" w:space="0" w:color="auto"/>
        <w:bottom w:val="none" w:sz="0" w:space="0" w:color="auto"/>
        <w:right w:val="none" w:sz="0" w:space="0" w:color="auto"/>
      </w:divBdr>
      <w:divsChild>
        <w:div w:id="396319170">
          <w:marLeft w:val="0"/>
          <w:marRight w:val="547"/>
          <w:marTop w:val="0"/>
          <w:marBottom w:val="0"/>
          <w:divBdr>
            <w:top w:val="none" w:sz="0" w:space="0" w:color="auto"/>
            <w:left w:val="none" w:sz="0" w:space="0" w:color="auto"/>
            <w:bottom w:val="none" w:sz="0" w:space="0" w:color="auto"/>
            <w:right w:val="none" w:sz="0" w:space="0" w:color="auto"/>
          </w:divBdr>
        </w:div>
        <w:div w:id="1066339379">
          <w:marLeft w:val="0"/>
          <w:marRight w:val="547"/>
          <w:marTop w:val="0"/>
          <w:marBottom w:val="0"/>
          <w:divBdr>
            <w:top w:val="none" w:sz="0" w:space="0" w:color="auto"/>
            <w:left w:val="none" w:sz="0" w:space="0" w:color="auto"/>
            <w:bottom w:val="none" w:sz="0" w:space="0" w:color="auto"/>
            <w:right w:val="none" w:sz="0" w:space="0" w:color="auto"/>
          </w:divBdr>
        </w:div>
      </w:divsChild>
    </w:div>
    <w:div w:id="2085252674">
      <w:bodyDiv w:val="1"/>
      <w:marLeft w:val="0"/>
      <w:marRight w:val="0"/>
      <w:marTop w:val="0"/>
      <w:marBottom w:val="0"/>
      <w:divBdr>
        <w:top w:val="none" w:sz="0" w:space="0" w:color="auto"/>
        <w:left w:val="none" w:sz="0" w:space="0" w:color="auto"/>
        <w:bottom w:val="none" w:sz="0" w:space="0" w:color="auto"/>
        <w:right w:val="none" w:sz="0" w:space="0" w:color="auto"/>
      </w:divBdr>
      <w:divsChild>
        <w:div w:id="1720862855">
          <w:marLeft w:val="0"/>
          <w:marRight w:val="547"/>
          <w:marTop w:val="0"/>
          <w:marBottom w:val="0"/>
          <w:divBdr>
            <w:top w:val="none" w:sz="0" w:space="0" w:color="auto"/>
            <w:left w:val="none" w:sz="0" w:space="0" w:color="auto"/>
            <w:bottom w:val="none" w:sz="0" w:space="0" w:color="auto"/>
            <w:right w:val="none" w:sz="0" w:space="0" w:color="auto"/>
          </w:divBdr>
        </w:div>
      </w:divsChild>
    </w:div>
    <w:div w:id="2086293665">
      <w:bodyDiv w:val="1"/>
      <w:marLeft w:val="0"/>
      <w:marRight w:val="0"/>
      <w:marTop w:val="0"/>
      <w:marBottom w:val="0"/>
      <w:divBdr>
        <w:top w:val="none" w:sz="0" w:space="0" w:color="auto"/>
        <w:left w:val="none" w:sz="0" w:space="0" w:color="auto"/>
        <w:bottom w:val="none" w:sz="0" w:space="0" w:color="auto"/>
        <w:right w:val="none" w:sz="0" w:space="0" w:color="auto"/>
      </w:divBdr>
      <w:divsChild>
        <w:div w:id="814221859">
          <w:marLeft w:val="0"/>
          <w:marRight w:val="547"/>
          <w:marTop w:val="0"/>
          <w:marBottom w:val="0"/>
          <w:divBdr>
            <w:top w:val="none" w:sz="0" w:space="0" w:color="auto"/>
            <w:left w:val="none" w:sz="0" w:space="0" w:color="auto"/>
            <w:bottom w:val="none" w:sz="0" w:space="0" w:color="auto"/>
            <w:right w:val="none" w:sz="0" w:space="0" w:color="auto"/>
          </w:divBdr>
        </w:div>
        <w:div w:id="333075088">
          <w:marLeft w:val="0"/>
          <w:marRight w:val="547"/>
          <w:marTop w:val="0"/>
          <w:marBottom w:val="0"/>
          <w:divBdr>
            <w:top w:val="none" w:sz="0" w:space="0" w:color="auto"/>
            <w:left w:val="none" w:sz="0" w:space="0" w:color="auto"/>
            <w:bottom w:val="none" w:sz="0" w:space="0" w:color="auto"/>
            <w:right w:val="none" w:sz="0" w:space="0" w:color="auto"/>
          </w:divBdr>
        </w:div>
      </w:divsChild>
    </w:div>
    <w:div w:id="2095514633">
      <w:bodyDiv w:val="1"/>
      <w:marLeft w:val="0"/>
      <w:marRight w:val="0"/>
      <w:marTop w:val="0"/>
      <w:marBottom w:val="0"/>
      <w:divBdr>
        <w:top w:val="none" w:sz="0" w:space="0" w:color="auto"/>
        <w:left w:val="none" w:sz="0" w:space="0" w:color="auto"/>
        <w:bottom w:val="none" w:sz="0" w:space="0" w:color="auto"/>
        <w:right w:val="none" w:sz="0" w:space="0" w:color="auto"/>
      </w:divBdr>
    </w:div>
    <w:div w:id="2122794940">
      <w:bodyDiv w:val="1"/>
      <w:marLeft w:val="0"/>
      <w:marRight w:val="0"/>
      <w:marTop w:val="0"/>
      <w:marBottom w:val="0"/>
      <w:divBdr>
        <w:top w:val="none" w:sz="0" w:space="0" w:color="auto"/>
        <w:left w:val="none" w:sz="0" w:space="0" w:color="auto"/>
        <w:bottom w:val="none" w:sz="0" w:space="0" w:color="auto"/>
        <w:right w:val="none" w:sz="0" w:space="0" w:color="auto"/>
      </w:divBdr>
    </w:div>
    <w:div w:id="2141069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588B13-CBCA-4FCB-A888-5F2AE2575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18</Pages>
  <Words>5312</Words>
  <Characters>24509</Characters>
  <Application>Microsoft Office Word</Application>
  <DocSecurity>0</DocSecurity>
  <Lines>204</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29762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אסנת תורג'מן</cp:lastModifiedBy>
  <cp:revision>4</cp:revision>
  <cp:lastPrinted>2018-08-08T14:54:00Z</cp:lastPrinted>
  <dcterms:created xsi:type="dcterms:W3CDTF">2019-02-11T08:23:00Z</dcterms:created>
  <dcterms:modified xsi:type="dcterms:W3CDTF">2019-02-11T12:36:00Z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notes://MAOR2/Doc/Takzivim/TakdocNew3.nsf/0/7D5F260FFA14DB38C22582A8002C987B/?OpenDocument</vt:lpwstr>
  </property>
  <property fmtid="{D5CDD505-2E9C-101B-9397-08002B2CF9AE}" pid="3" name="MaorRecipients0">
    <vt:lpwstr>shiraa@mof.gov.il</vt:lpwstr>
  </property>
</Properties>
</file>